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AAF" w:rsidRDefault="00450AAF">
      <w:pPr>
        <w:pStyle w:val="BodyTextIndent3"/>
        <w:spacing w:after="0"/>
        <w:contextualSpacing/>
        <w:jc w:val="right"/>
        <w:rPr>
          <w:rFonts w:ascii="GHEA Grapalat" w:hAnsi="GHEA Grapalat" w:cs="Sylfaen"/>
          <w:b/>
          <w:noProof/>
          <w:sz w:val="18"/>
          <w:szCs w:val="18"/>
          <w:lang w:val="hy-AM"/>
        </w:rPr>
      </w:pPr>
      <w:bookmarkStart w:id="0" w:name="_Hlk113627086"/>
      <w:bookmarkStart w:id="1" w:name="_Hlk81818730"/>
    </w:p>
    <w:tbl>
      <w:tblPr>
        <w:tblW w:w="11400" w:type="dxa"/>
        <w:tblInd w:w="-643" w:type="dxa"/>
        <w:tblLayout w:type="fixed"/>
        <w:tblLook w:val="04A0" w:firstRow="1" w:lastRow="0" w:firstColumn="1" w:lastColumn="0" w:noHBand="0" w:noVBand="1"/>
      </w:tblPr>
      <w:tblGrid>
        <w:gridCol w:w="11400"/>
      </w:tblGrid>
      <w:tr w:rsidR="00450AAF">
        <w:trPr>
          <w:trHeight w:val="345"/>
        </w:trPr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0AAF" w:rsidRDefault="003E581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en-GB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lang w:val="ru-RU" w:eastAsia="ru-RU" w:bidi="ru-RU"/>
              </w:rPr>
              <w:t xml:space="preserve">ЛОТ 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lang w:val="en-GB" w:eastAsia="ru-RU" w:bidi="ru-RU"/>
              </w:rPr>
              <w:t>1</w:t>
            </w:r>
          </w:p>
        </w:tc>
      </w:tr>
      <w:tr w:rsidR="00450AAF">
        <w:trPr>
          <w:trHeight w:val="345"/>
        </w:trPr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0AAF" w:rsidRDefault="003E581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hy-AM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lang w:val="ru-RU" w:eastAsia="ru-RU" w:bidi="ru-RU"/>
              </w:rPr>
              <w:t>Техническая спецификация</w:t>
            </w:r>
          </w:p>
          <w:p w:rsidR="00450AAF" w:rsidRDefault="003E581E">
            <w:pPr>
              <w:spacing w:after="0"/>
              <w:contextualSpacing/>
              <w:jc w:val="center"/>
              <w:rPr>
                <w:rFonts w:ascii="GHEA Grapalat" w:hAnsi="GHEA Grapalat"/>
                <w:b/>
                <w:noProof/>
                <w:lang w:val="hy-AM"/>
              </w:rPr>
            </w:pPr>
            <w:r>
              <w:rPr>
                <w:rFonts w:ascii="Arial" w:eastAsia="Arial" w:hAnsi="Arial" w:cs="Arial"/>
                <w:b/>
                <w:noProof/>
                <w:lang w:val="ru-RU" w:eastAsia="ru-RU" w:bidi="ru-RU"/>
              </w:rPr>
              <w:t>Бытовые товары</w:t>
            </w:r>
            <w:r>
              <w:rPr>
                <w:rFonts w:ascii="Arial" w:eastAsia="Arial" w:hAnsi="Arial" w:cs="Arial"/>
                <w:b/>
                <w:noProof/>
                <w:lang w:val="en-GB" w:eastAsia="ru-RU" w:bidi="ru-RU"/>
              </w:rPr>
              <w:t xml:space="preserve"> </w:t>
            </w:r>
            <w:r>
              <w:rPr>
                <w:rFonts w:ascii="Arial" w:eastAsia="Arial" w:hAnsi="Arial" w:cs="Arial"/>
                <w:b/>
                <w:noProof/>
                <w:lang w:val="ru-RU" w:eastAsia="ru-RU" w:bidi="ru-RU"/>
              </w:rPr>
              <w:t>и средства первой помощи</w:t>
            </w:r>
          </w:p>
          <w:p w:rsidR="00450AAF" w:rsidRDefault="00450AAF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hy-AM"/>
              </w:rPr>
            </w:pPr>
          </w:p>
        </w:tc>
      </w:tr>
      <w:tr w:rsidR="00450AAF">
        <w:trPr>
          <w:trHeight w:val="810"/>
        </w:trPr>
        <w:tc>
          <w:tcPr>
            <w:tcW w:w="1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0AAF" w:rsidRDefault="00450AAF">
            <w:pPr>
              <w:spacing w:after="0"/>
              <w:contextualSpacing/>
              <w:jc w:val="center"/>
              <w:rPr>
                <w:rFonts w:ascii="GHEA Grapalat" w:hAnsi="GHEA Grapalat"/>
                <w:b/>
                <w:noProof/>
                <w:lang w:val="hy-AM"/>
              </w:rPr>
            </w:pPr>
          </w:p>
          <w:tbl>
            <w:tblPr>
              <w:tblW w:w="9400" w:type="dxa"/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1440"/>
              <w:gridCol w:w="1530"/>
              <w:gridCol w:w="4360"/>
              <w:gridCol w:w="716"/>
              <w:gridCol w:w="819"/>
            </w:tblGrid>
            <w:tr w:rsidR="00450AAF">
              <w:trPr>
                <w:trHeight w:val="908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noProof/>
                      <w:sz w:val="20"/>
                      <w:szCs w:val="20"/>
                      <w:lang w:val="ru-RU" w:eastAsia="ru-RU" w:bidi="ru-RU"/>
                    </w:rPr>
                    <w:t>№ п/п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noProof/>
                      <w:sz w:val="20"/>
                      <w:szCs w:val="20"/>
                      <w:lang w:val="ru-RU" w:eastAsia="ru-RU" w:bidi="ru-RU"/>
                    </w:rPr>
                    <w:t>Наименование товара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noProof/>
                      <w:sz w:val="20"/>
                      <w:szCs w:val="20"/>
                      <w:lang w:val="ru-RU" w:eastAsia="ru-RU" w:bidi="ru-RU"/>
                    </w:rPr>
                    <w:t xml:space="preserve">Проектный код или наименование помещения </w:t>
                  </w:r>
                </w:p>
              </w:tc>
              <w:tc>
                <w:tcPr>
                  <w:tcW w:w="4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noProof/>
                      <w:sz w:val="20"/>
                      <w:szCs w:val="20"/>
                      <w:lang w:val="ru-RU" w:eastAsia="ru-RU" w:bidi="ru-RU"/>
                    </w:rPr>
                    <w:t>Описание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noProof/>
                      <w:sz w:val="20"/>
                      <w:szCs w:val="20"/>
                      <w:lang w:val="ru-RU" w:eastAsia="ru-RU" w:bidi="ru-RU"/>
                    </w:rPr>
                    <w:t>Ед. изм.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noProof/>
                      <w:sz w:val="20"/>
                      <w:szCs w:val="20"/>
                      <w:lang w:val="ru-RU" w:eastAsia="ru-RU" w:bidi="ru-RU"/>
                    </w:rPr>
                    <w:t>Количество</w:t>
                  </w:r>
                </w:p>
              </w:tc>
            </w:tr>
            <w:tr w:rsidR="00450AAF">
              <w:trPr>
                <w:trHeight w:val="962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Держатель для бумажных полотенец (матовый, без блеска)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1-01/01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2-02/02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4-04/04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5-05/05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-8-08/08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-9-09/09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-10-10/10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-12-12/12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-13-13/13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-14-14/14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1-01/01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2-02/02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4-04/04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5-05/05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-8-08/08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-9-09/09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-10-10/10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-12-12/12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-13-13/13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-14-14/14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1-01/01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3-03/03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7-07/07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8-08/08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9-09/09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10-10/10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11-11/11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13-13/13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16-16/16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17-17/17 Подвал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• Поверхность: матовая (без блеска), с гладкой и равномерной обработкой, устойчивая к царапинам и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износу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Материал: высококачественная нержавеющая сталь (предпочтительно stainless steel 304) или высокопрочный коррозионностойкий металл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Цвет: матовый металлик / черный (согласовать с заказчиком)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Размер: длина стержня 40 см, подходит для рулонов бытов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ых бумажных полотенец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Конструкция: прочная, устойчивая, не подверженная деформации, рассчитанная на длительную интенсивную эксплуатацию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Крепление: настенное, на винтах или с помощью скрытой системы монтажа, с безопасной и надежной фиксацией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Применени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е: подходит для использования на кухнях и в санитарных помещениях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Качество: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Влагостойкость и коррозионная стойкость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Нержавеющая, легко очищаемая поверхность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Высокая износостойкость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Стойкость к механическим повреждениям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Рассчитано на длительную эксплуатац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ию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Изделие должно быть новым, заводского изготовления, без дефектов и повреждений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Должно обеспечивать надежную и безопасную эксплуатацию при повседневном использовании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38</w:t>
                  </w:r>
                </w:p>
              </w:tc>
            </w:tr>
            <w:tr w:rsidR="00450AAF">
              <w:trPr>
                <w:trHeight w:val="1785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Глубокая столовая тарелка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Тарелки для супа —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фарфоровая суповая тарелка вместимостью 400–500 мл, белого или молочного цвета, однотонная, без рисунка, соответствующая требованиям ГОСТ 25185-93.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Изделие должно иметь маркировку производителя. Форма — круглая.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</w:tr>
            <w:tr w:rsidR="00450AAF">
              <w:trPr>
                <w:trHeight w:val="161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Большая тарелка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Тарелка — фарфоровая, диаметром 25-27 см, глубиной 6 мм, ширина края — не более 3 см. Цвет — белый или молочный; однотонная, без рисунка; соответствует требованиям ГОСТ 25185-93. Форма — круглая.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</w:tr>
            <w:tr w:rsidR="00450AAF">
              <w:trPr>
                <w:trHeight w:val="89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Малая тарелка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Круглая тарелка из высококачественной керамики, белого цвета; высота — 1–1,5 см, диаметр — 15-16 см.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</w:tr>
            <w:tr w:rsidR="00450AAF">
              <w:trPr>
                <w:trHeight w:val="899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Десертная тарелка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Круглая тарелка из высококачественной керамики, белого цвета; высота — 1–1,5 см, диаметр — 16-18 см.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</w:tr>
            <w:tr w:rsidR="00450AAF">
              <w:trPr>
                <w:trHeight w:val="224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6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Чайная чашка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Чашки — фарфоровая чашка с ручкой, объемом 250 мл; длина ручки — не менее 60 мм; соответствует требованиям ГОСТ 25185-93. Цвет — белый или молочный; однотонная, без рисунка.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Изделие должно иметь маркировку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производителя.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</w:tr>
            <w:tr w:rsidR="00450AAF">
              <w:trPr>
                <w:trHeight w:val="1079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Кофейная чашка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Высота — 6 см, диаметр — 6,8 см. Цвет — белый или светлого оттенка, однотонный. Керамическая, с ручкой. Объем — 100 мл.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</w:tr>
            <w:tr w:rsidR="00450AAF">
              <w:trPr>
                <w:trHeight w:val="611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8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Стакан для воды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Стеклянный стакан без рисунка. Объем — 200-250 мл.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</w:tr>
            <w:tr w:rsidR="00450AAF">
              <w:trPr>
                <w:trHeight w:val="242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Вилка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Вилка столовая, четырехзубцовая, длиной не менее 200 мм, толщиной 2 мм, из пищевой нержавеющей стали, соответствующая требованиям ГОСТ 25185-93 и ГОСТ 27002-2020,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серебристого цвета.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Маркировка должна быть нанесена непосредственно на изделие (не в виде наклейки).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</w:tr>
            <w:tr w:rsidR="00450AAF">
              <w:trPr>
                <w:trHeight w:val="197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Десертная вилка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Вилка столовая, четырехзубцовая, длиной не менее 100 мм, толщиной 2 мм, из пищевой нержавеющей стали,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серебристого цвета.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Маркировка должна быть нанесена непосредственно на изделие (не в виде наклейки).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</w:tr>
            <w:tr w:rsidR="00450AAF">
              <w:trPr>
                <w:trHeight w:val="89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11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Нож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Металлический нож серебристого цвета длиной не менее 200 мм, толщиной 2 мм, из пищевой нержавеющей стали.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</w:tr>
            <w:tr w:rsidR="00450AAF">
              <w:trPr>
                <w:trHeight w:val="107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Десертный нож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Десертный нож — металлический, серебристого цвета, длиной не менее 100 мм, толщиной 2 мм, из пищевой нержавеющей стали.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</w:tr>
            <w:tr w:rsidR="00450AAF">
              <w:trPr>
                <w:trHeight w:val="188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Столовая ложка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Ложки — столовая ложка из пищевой нержавеющей стали, длиной не менее 200 мм, толщиной 2 мм; глубина рабочей части — 0,5 мм; края сглажены и отполированы; соответствует требованиям ГОСТ 25185-93 и ГОСТ 27002-2020. 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</w:tr>
            <w:tr w:rsidR="00450AAF">
              <w:trPr>
                <w:trHeight w:val="143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Кофейная ложка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Ложки — малая ложка из пищевой нержавеющей стали, длиной не менее 100 мм, толщиной 2 мм; глубина рабочей части — 0,25 мм; края сглажены и отполированы.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</w:tr>
            <w:tr w:rsidR="00450AAF">
              <w:trPr>
                <w:trHeight w:val="2249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Кухонный нож для хлеба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Нож для хлеба: металл — У8А или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У10А; общая длина — 395-405 мм; длина режущего лезвия — 295-305 мм; ширина — 100-110 мм; толщина — 1,5-2 мм. Ручка — из полипропилена, полистирола или эквивалентного материала, закреплена 3 заклепками толщиной не менее 5 мм. Лезвие ножа равномерно заточено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62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16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Скалка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Размер рабочей части скалки — 35X 5 см; материал — дерево.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62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Половник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Половник объемом 250-500 мл, из алюминия или пищевой нержавеющей стали:E66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1421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18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Разделочная доска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Доска для нарезки продуктов из полипропилена, полистирола или эквивалентного материала; длина — не менее 410 мм, ширина — не менее 270 мм, толщина — не менее 10 мм.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1169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Малый поднос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Материал — бамбук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или пластмасса; прямоугольной формы; цвет — черный, белый или серый. Размер — 35X27. Поверхность нескользящая.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273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Малая кастрюля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Кастрюля с крышкой объемом 5 литров, из алюминия или пищевой нержавеющей стали,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соответствующая требованиям ГОСТ 17151-81 и ГОСТ 27002-2020. Вместимость — не менее 5 литров; диаметр — Ф 220 мм; высота — 220-225 мм; толщина металла — 2,5 мм; две ручки. Каждая ручка должна крепиться к кастрюле 4 заклепками — по 2 заклепки с каждой сторо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ны; толщина ручки — не менее Ф10 мм; крышка также должна иметь ручку.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1439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Малая сковорода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Сковорода с гранитным покрытием. Масса — до 1 кг; объем — 1-2 литра; диаметр — 15 см; высота — до 7 см; ручки — пластмассовые. Крышка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— стеклянная, с силиконовым ободком.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53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Средняя миска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Миска объемом 3 л. Из пищевой пластмассы, однотонная.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62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Настольная хлебница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Овальная или круглая, из соломки, коричневого цвета.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Диаметр — до 25 см.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1259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Солонка, перечница, стаканчик для зубочисток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Фарфоровые емкости для специй. В комплект входят солонка, перечница и стаканчик для зубочисток на общей подставке.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629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Стеклянный кувшин для воды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Стеклянный кувшин без рисунка, объемом 2 л.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89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26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Емкость для пищевых продуктов, 5 л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Пластиковая емкость для пищевых продуктов объемом 5 л.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504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Чехол для матраса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Чехол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для матраса (наматрасник), предназначенный для кровати размером 1000×2000 мм (100×200 см); изготовлен из 100% хлопка, полиэстера или смесовой хлопково-полиэстеровой ткани средней или высокой плотности, с внутренним водонепроницаемым полиуретановым (PU) сло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ем; водонепроницаемый и воздухопроницаемый, с антибактериальными и гипоаллергенными свойствами, защищающий от пылевых клещей; с эластичными краями (креплением на резинке) для надежной фиксации на матрасе; с прочными двойными швами; простой в уходе, пригодн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ый для машинной стирки (30–60°C), быстро сохнущий и устойчивый к многократным стиркам; белого или светлого цвета; изготовлен из гипоаллергенных и безопасных для кожи материалов; рассчитан на длительную эксплуатацию и обеспечивает гигиеническую защиту матра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са.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highlight w:val="yellow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89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28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Комплект постельного белья /простыня, пододеяльник, наволочка/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Комплект постельного белья для односпальной кровати (2000×1000 мм), включающий простыню, пододеяльник и наволочку; изготовлен из 100% хлопка или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высококачественной гипоаллергенной ткани плотностью 120–140 г/м², приятной для кожи, воздухопроницаемой, легко стирающейся и быстро сохнущей; предназначен для повседневной интенсивной эксплуатации. Простыня — для кровати размером 200×100 см; пододеяльник —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 стандартного односпального размера; наволочка — не менее 50×70 см. Швы прочные и качественные; комплект устойчив к многократным стиркам, рассчитан на длительную эксплуатацию; светлых или нейтральных цветов по согласованию с заказчиком; без производственны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х дефектов, с подтвержденным соответствием требованиям качества.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highlight w:val="yellow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highlight w:val="yellow"/>
                      <w:lang w:val="ru-RU" w:eastAsia="ru-RU" w:bidi="ru-RU"/>
                    </w:rPr>
                    <w:t>комплект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highlight w:val="yellow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4365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Подушка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• Тип: подушка для сна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Размер: не менее 50×70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• Наполнитель: гипоаллергенное синтетическое волокно или иной высококачественный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наполнитель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Материал чехла: мягкая, воздухопроницаемая и приятная для кожи ткань (хлопок или микрофибра)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Жесткость: средней мягкости, с обеспечением комфорта и ортопедической поддержки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Свойства: гипоаллергенная, воздухопроницаемая, сохраняющая форму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• Уход: пригодна для стирки и легко очищается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Применение: для повседневной и длительной эксплуатации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Качество: прочная, устойчивая к многократным стиркам, рассчитанная на длительную эксплуатацию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Безопасность: изготовлена из безопасных и гигиеничных 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атериалов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Гарантия: отсутствие производственных дефектов и соответствие требованиям качества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3825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30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Летнее одеяло-покрывало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Летнее одеяло (покрывало) для односпальной кровати размером 200×100 см; изготовлено из легкой,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воздухопроницаемой и гипоаллергенной хлопковой ткани, микрофибры или эквивалентного материала; наполнено легким синтетическим волокном или хлопковым наполнителем; обеспечивает воздухопроницаемость, мягкость и приятные ощущения для кожи, а также температурн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ый комфорт в летний период. Легкое, легко стирается и быстро сохнет; имеет прочные и качественные швы; светлого или нейтрального цвета по согласованию с заказчиком; предназначено для повседневной интенсивной эксплуатации, устойчиво к многократным стиркам,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рассчитано на длительное использование и изготовлено из гигиеничных безопасных материалов.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396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Покрывало для кровати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Покрывало для односпальной кровати размером 200×100 см, изготовленное из высококачественной хлопковой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ткани, микрофибры или эквивалентного прочного материала; мягкое, приятное для кожи, воздухопроницаемое и износостойкое; современного и аккуратного дизайна, соответствующего интерьеру; светлого или нейтрального цвета по согласованию с заказчиком; с прочными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 и качественными швами; простое в уходе, пригодное для стирки и быстро сохнущее; предназначенное для повседневной интенсивной эксплуатации, устойчивое к многократным стиркам, рассчитанное на длительное использование; изготовленное из гипоаллергенных и безо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пасных материалов.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3735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Банное полотенце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• Тип: банное полотенце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Материал: 100% хлопок или высококачественная гипоаллергенная ткань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Размер: не менее 70×140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Плотность: 450–600 г/м²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• Свойства: мягкое, с высокой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впитывающей способностью, приятное для кожи и воздухопроницаемое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Цвет: светлые или нейтральные тона (согласовать с заказчиком)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Швы: прочные, с качественной обработкой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Уход: пригодно для стирки, легко очищается, быстро сохнет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Применение: для повседн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евной интенсивной эксплуатации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Качество: прочное, устойчивое к многократным стиркам, рассчитанное на длительное использование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Безопасность: изготовлено из гипоаллергенных и безопасных материалов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</w:tr>
            <w:tr w:rsidR="00450AAF">
              <w:trPr>
                <w:trHeight w:val="143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33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Полотенце для лица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•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Тип: полотенце для лица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Материал: 100% хлопок или высококачественная гипоаллергенная ткань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Размер: не менее 40×70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Плотность: 400–500 г/м²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Свойства: мягкое, с высокой впитывающей способностью, приятное для кожи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Цвет: светлые или нейтральные тон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а (согласовать с заказчиком)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Швы: прочные, с качественной обработкой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Уход: пригодно для стирки, легко очищается, быстро сохнет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Применение: для повседневной интенсивной эксплуатации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• Качество: прочное, устойчивое к многократным стиркам, рассчитанное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на длительное использование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Безопасность: изготовлено из гипоаллергенных и безопасных материалов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6</w:t>
                  </w:r>
                </w:p>
              </w:tc>
            </w:tr>
            <w:tr w:rsidR="00450AAF">
              <w:trPr>
                <w:trHeight w:val="459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Скатерть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Скатерть для стола размером 600×1200 мм, изготовленная из полиэстера, хлопка или смесовой хлопково-полиэстеровой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 ткани — по требованию заказчика; средней или высокой плотности; прочная и рассчитанная на длительную эксплуатацию; с пятностойкой или водостойкой поверхностью (в зависимости от модели) и высокой стойкостью окраски. Исполнение — однотонное, с принтом или 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екоративное, по согласованию. Края должны иметь прочную обработку (оверлок или двойная строчка). Скатерть должна быть простой в уходе, пригодной для машинной стирки, быстро сохнущей, предназначенной для повседневного использования и оформления интерьера; 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зготовленной из безопасных для кожи материалов, обработанных нетоксичными красителями.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450AAF">
              <w:trPr>
                <w:trHeight w:val="188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Пластмассовая корзина с крышкой для белья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Корзина для белья с имитацией плетения, обеспечивающей свободную циркуляцию воздуха. Объем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корзины — 50 литров. Изделие оснащено удобными ручками для переноски. Материал — высококачественный полипропилен, надежный и прочный. Цвет — бежевый или светло-серый.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161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36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Шторы — плотная портьерная ткань, 3,5 м; прозрачный тюль, 7 м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Портьера (плотная портьерная ткань)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Количество: 3,5 метра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Материал: плотная ткань (например, полиэстер или смесовая ткань)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Плотность: 200–300 г/м²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Назначение: светозащита, частичное затемнение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Цвет: по согласованию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Прозрачный тюль (тюль / шифон)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К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оличество: 7 метров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Материал: легкая прозрачная ткань (полиэстеровый тюль)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Плотность: около 40–80 г/м²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lastRenderedPageBreak/>
                    <w:t>Назначение: пропускание естественного света, декоративный слой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Цвет: белый или светлого оттенка (по требованию)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2. Общие требования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Ткань должна быть кач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ественной, не растягиваться и не выцветать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Швы — ровные, прочные, с промышленной обработкой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Края должны иметь завершенную обработку (оверлок или подрубочный шов)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Пригодность для использования в интерьере помещений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lastRenderedPageBreak/>
                    <w:t>комплект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2789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37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Механический тонометр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Профессиональный механический тонометр A&amp;D UA-100 предназначен для измерения систолического (верхнего) и диастолического (нижнего) давления. Прибор оснащен стандартной манжетой (размер 22-32 см) и встроенным стетоскопом. Комплектация: •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 встроенный стетоскоп • стандартная манжета (размер 22-32 см) • манометр • нагнетатель • клапан • чехол для хранения комплекта  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</w:tr>
            <w:tr w:rsidR="00450AAF">
              <w:trPr>
                <w:trHeight w:val="305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38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Автоматический тонометр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Цифровой автоматический тонометр AND UA-888 для измерения артериального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давления предназначен для использования как в домашних условиях, так и в медицинских учреждениях. Комплектация: • кнопка включения/выключения • цифровой дисплей • манжета • 4 новые батареи AA, LR6, рассчитанные примерно на 2000 измерений • звуковой сигнал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• чехол для хранения комплекта • сетевой адаптер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</w:tr>
            <w:tr w:rsidR="00450AAF">
              <w:trPr>
                <w:trHeight w:val="3563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39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электронный (цифровой) термометр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Электронный термометр предназначен для безопасного, точного и быстрого измерения температуры тела человека. Может использоваться как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 в медицинских учреждениях, так и в домашних условиях.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Измерение температуры данным термометром может выполняться тремя способами: ректально, орально (в полости рта) или аксиллярно (в подмышечной впадине).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Минимальное время измерения зависит от выбранного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способа.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- Ректальное измерение: около 10 секунд.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- Оральное измерение: около 20 секунд.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- Аксиллярное измерение: около 25 секунд.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143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Галлиевый термометр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Тип: клинический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Диапазон измерения: 35°C – 42°C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Точность: ±0,1 °C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Эксплуатация: без батареи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Стеклянный корпус, медицинский стандарт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260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41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Бесконтактный термометр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Тип: бесконтактный инфракрасный термометр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Способ измерения: на лбу, дистанционно (до ~5 см)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Время измерения: несколько секунд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Режимы: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тело / предмет / окружающая среда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Память: до 30 измерений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Индикация: световые и звуковые сигналы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Дисплей: цифровой, с подсветкой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Питание: от батарей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</w:tr>
            <w:tr w:rsidR="00450AAF">
              <w:trPr>
                <w:trHeight w:val="332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жгут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Одноразовый медицинский жгут, изготовленный из материала TPE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 с точечной поверхностью, предназначен для пережатия вен при выполнении процедур забора крови.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Не содержит латекса, гипоаллергенен и безопасен при контакте с кожей. Жгут обладает высокой эластичностью и обеспечивает надежную фиксацию при проведении медицин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ских манипуляций.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 каждой коробке: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25 предварительно нарезанных жгутов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Размеры: 45 × 2,5 см (45 × 2,5 cm)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Толщина: 0,636 мм (0,636 mm)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коробка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</w:t>
                  </w:r>
                </w:p>
              </w:tc>
            </w:tr>
            <w:tr w:rsidR="00450AAF">
              <w:trPr>
                <w:trHeight w:val="827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43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Иглодержатель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Иглодержатель MAYO HEGAR из нержавеющей стали, 14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14 см, 16 см, 18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см, 20 см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602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44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Шприцы с иглой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Шприц одноразовый 5 мл с иглой 0,8 × 40 мм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30</w:t>
                  </w:r>
                </w:p>
              </w:tc>
            </w:tr>
            <w:tr w:rsidR="00450AAF">
              <w:trPr>
                <w:trHeight w:val="62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45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Шприцы с иглой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Шприц одноразовый 10 мл с иглой 0,8 x 40 мм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30</w:t>
                  </w:r>
                </w:p>
              </w:tc>
            </w:tr>
            <w:tr w:rsidR="00450AAF">
              <w:trPr>
                <w:trHeight w:val="62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46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Шприцы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с иглой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Шприц одноразовый 1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мл с иглой 0,6 x 30 мм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30</w:t>
                  </w:r>
                </w:p>
              </w:tc>
            </w:tr>
            <w:tr w:rsidR="00450AAF">
              <w:trPr>
                <w:trHeight w:val="62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47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Хирургические шовные нити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 Шовные нити предназначены для общего ушивания мягких тканей.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коробка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62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48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Ручка скальпеля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Ручка скальпеля №3 (стандартная хирургическая)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</w:tr>
            <w:tr w:rsidR="00450AAF">
              <w:trPr>
                <w:trHeight w:val="62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49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Пинцеты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Анатомический пинцет из нержавеющей стали — 12 см, 14 см, 16 см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3680"/>
              </w:trPr>
              <w:tc>
                <w:tcPr>
                  <w:tcW w:w="5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50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Ножницы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Медицинские ножницы (профессиональные), изготовленные из высококачественного нержавеющего металла. Имеют закругленный конец и зубцы с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 двойной заточкой, что обеспечивает безопасное и эффективное применение. Относятся к профессиональным медицинским инструментам и широко используются в медицинских учреждениях, а также в аптечках первой помощи.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Ножницы обладают высокой режущей способностью,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 благодаря чему легко разрезают толстые бинты, одежду, ремни, кожаные материалы, толстые нити и другие материалы.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</w:tr>
            <w:tr w:rsidR="00450AAF">
              <w:trPr>
                <w:trHeight w:val="80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51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Скальпель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Многоразовый хирургический инструмент из нержавеющей стали, с ручкой и сменными стерильными лезвиями.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</w:tr>
            <w:tr w:rsidR="00450AAF">
              <w:trPr>
                <w:trHeight w:val="1709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52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Стерильный бинт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Стерильный бинт из медицинской марли размером 7 м x 14 см предназначен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для закрепления, наложения и изготовления перевязочных средств, защиты раны от загрязнения и инфекции, а также обеспечения доступа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кислорода к раневой поверхности.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коробка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20</w:t>
                  </w:r>
                </w:p>
              </w:tc>
            </w:tr>
            <w:tr w:rsidR="00450AAF">
              <w:trPr>
                <w:trHeight w:val="2861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53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Стерильный бинт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Бинт 10 x 16                                                                                   Марлевые бинты предназначены для закрепления и наложения повязок, а также для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 защиты раны от загрязнений и механических воздействий.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Они применяются для перевязки раневых и ожоговых поверхностей, тампонирования глубоких ран на догоспитальном этапе с целью остановки кровотечения, а также для наложения повязок на послеоперационные ра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ны с целью предотвращения инфицирования.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коробка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10</w:t>
                  </w:r>
                </w:p>
              </w:tc>
            </w:tr>
            <w:tr w:rsidR="00450AAF">
              <w:trPr>
                <w:trHeight w:val="377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54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Гигроскопическая вата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Медицинская гигроскопическая вата предназначена для широкого применения в медицинской практике, при гигиенических и косметологических процедурах.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Используется для изготовления хирургических перевязочных средств, дезинфекции кожи перед инъекциями, обработки ран и наложения повязок, а также для впитывания и нанесения различных медицинских препаратов в учреждениях здравоохранения и домашних условиях. В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ата также может использоваться в качестве мягкой прокладки при наложении шин и иммобилизующих повязок, а также для согревания перевязанных участков тела.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коробка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30</w:t>
                  </w:r>
                </w:p>
              </w:tc>
            </w:tr>
            <w:tr w:rsidR="00450AAF">
              <w:trPr>
                <w:trHeight w:val="3320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55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Противошоковые препараты (Дексаметазон)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Дексаметазон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(Dexamethasone), раствор для инъекций. Упаковка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Стеклянная ампула или флакон объемом 1 мл или 2 мл.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Заводская упаковка с маркировкой производителя и инструкцией по применению. Срок годности: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остаточный срок годности на момент поставки — 70–80% общего срока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 (или согласно требованию заказчика). Условия поставки: в неповрежденной заводской упаковке с надлежащей маркировкой (производитель, серия, срок годности, дозировка).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коробка</w:t>
                  </w: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5</w:t>
                  </w:r>
                </w:p>
              </w:tc>
            </w:tr>
            <w:tr w:rsidR="00450AAF">
              <w:trPr>
                <w:trHeight w:val="4515"/>
              </w:trPr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ourier New"/>
                      <w:noProof/>
                      <w:color w:val="000000"/>
                      <w:sz w:val="20"/>
                      <w:szCs w:val="20"/>
                      <w:lang w:val="hy-AM"/>
                    </w:rPr>
                    <w:t>56</w:t>
                  </w: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Противошоковые препараты (Адреналин)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Медицинский кабинет</w:t>
                  </w:r>
                </w:p>
              </w:tc>
              <w:tc>
                <w:tcPr>
                  <w:tcW w:w="43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Наименование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товара: Адреналин (Epinephrine/Adrenaline), раствор для инъекций; каждый 1 мл должен содержать 1 мг эпинефрина. Упаковка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Стеклянная ампула объемом 1 мл (или стандартная упаковка производителя).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Герметичная заводская упаковка с маркировкой и инструкцией по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применению. Условия хранения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Хранить при температуре 15–25°C в защищенном от света месте.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Срок годности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Остаточный срок годности на момент поставки — 70–80% общего срока.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 Условия поставки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 неповрежденной заводской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упаковке с указанием серии, даты изготов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ления и срока годности.</w:t>
                  </w:r>
                </w:p>
              </w:tc>
              <w:tc>
                <w:tcPr>
                  <w:tcW w:w="7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коробка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contextualSpacing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5</w:t>
                  </w:r>
                </w:p>
              </w:tc>
            </w:tr>
          </w:tbl>
          <w:p w:rsidR="00450AAF" w:rsidRDefault="00450AAF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hy-AM"/>
              </w:rPr>
            </w:pPr>
          </w:p>
        </w:tc>
      </w:tr>
    </w:tbl>
    <w:p w:rsidR="00450AAF" w:rsidRDefault="00450AAF">
      <w:pPr>
        <w:spacing w:after="0"/>
        <w:contextualSpacing/>
        <w:jc w:val="right"/>
        <w:rPr>
          <w:rFonts w:ascii="Arial" w:eastAsia="Arial" w:hAnsi="Arial" w:cs="Arial"/>
          <w:b/>
          <w:noProof/>
          <w:color w:val="000000" w:themeColor="text1"/>
          <w:sz w:val="18"/>
          <w:szCs w:val="18"/>
          <w:lang w:val="ru-RU" w:eastAsia="ru-RU" w:bidi="ru-RU"/>
        </w:rPr>
      </w:pPr>
    </w:p>
    <w:p w:rsidR="00450AAF" w:rsidRDefault="003E581E">
      <w:pPr>
        <w:spacing w:after="0" w:line="240" w:lineRule="auto"/>
        <w:rPr>
          <w:rFonts w:ascii="GHEA Grapalat" w:hAnsi="GHEA Grapalat" w:cs="Sylfaen"/>
          <w:b/>
          <w:noProof/>
          <w:sz w:val="18"/>
          <w:szCs w:val="18"/>
          <w:lang w:val="hy-AM"/>
        </w:rPr>
      </w:pPr>
      <w:r>
        <w:rPr>
          <w:rFonts w:ascii="GHEA Grapalat" w:hAnsi="GHEA Grapalat" w:cs="Sylfaen"/>
          <w:b/>
          <w:noProof/>
          <w:sz w:val="18"/>
          <w:szCs w:val="18"/>
          <w:lang w:val="hy-AM"/>
        </w:rPr>
        <w:br w:type="page"/>
      </w:r>
    </w:p>
    <w:p w:rsidR="00450AAF" w:rsidRDefault="00450AAF">
      <w:pPr>
        <w:pStyle w:val="BodyTextIndent3"/>
        <w:spacing w:after="0"/>
        <w:contextualSpacing/>
        <w:jc w:val="right"/>
        <w:rPr>
          <w:rFonts w:ascii="GHEA Grapalat" w:hAnsi="GHEA Grapalat" w:cs="Sylfaen"/>
          <w:b/>
          <w:noProof/>
          <w:sz w:val="18"/>
          <w:szCs w:val="18"/>
          <w:lang w:val="hy-AM"/>
        </w:rPr>
      </w:pPr>
    </w:p>
    <w:p w:rsidR="00450AAF" w:rsidRDefault="00450AAF">
      <w:pPr>
        <w:pStyle w:val="BodyTextIndent3"/>
        <w:spacing w:after="0"/>
        <w:contextualSpacing/>
        <w:jc w:val="right"/>
        <w:rPr>
          <w:rFonts w:ascii="GHEA Grapalat" w:hAnsi="GHEA Grapalat" w:cs="Sylfaen"/>
          <w:b/>
          <w:noProof/>
          <w:sz w:val="18"/>
          <w:szCs w:val="18"/>
          <w:lang w:val="hy-AM"/>
        </w:rPr>
      </w:pPr>
    </w:p>
    <w:tbl>
      <w:tblPr>
        <w:tblW w:w="11400" w:type="dxa"/>
        <w:tblLayout w:type="fixed"/>
        <w:tblLook w:val="04A0" w:firstRow="1" w:lastRow="0" w:firstColumn="1" w:lastColumn="0" w:noHBand="0" w:noVBand="1"/>
      </w:tblPr>
      <w:tblGrid>
        <w:gridCol w:w="11400"/>
      </w:tblGrid>
      <w:tr w:rsidR="00450AAF">
        <w:trPr>
          <w:trHeight w:val="345"/>
        </w:trPr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0AAF" w:rsidRDefault="003E581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en-GB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lang w:val="ru-RU" w:eastAsia="ru-RU" w:bidi="ru-RU"/>
              </w:rPr>
              <w:t xml:space="preserve">ЛОТ  </w:t>
            </w:r>
            <w:r>
              <w:rPr>
                <w:rFonts w:ascii="Arial" w:eastAsia="Arial" w:hAnsi="Arial" w:cs="Arial"/>
                <w:b/>
                <w:bCs/>
                <w:noProof/>
                <w:color w:val="000000"/>
                <w:lang w:val="en-GB" w:eastAsia="ru-RU" w:bidi="ru-RU"/>
              </w:rPr>
              <w:t>2</w:t>
            </w:r>
          </w:p>
        </w:tc>
      </w:tr>
      <w:tr w:rsidR="00450AAF">
        <w:trPr>
          <w:trHeight w:val="345"/>
        </w:trPr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0AAF" w:rsidRDefault="003E581E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hy-AM"/>
              </w:rPr>
            </w:pPr>
            <w:r>
              <w:rPr>
                <w:rFonts w:ascii="Arial" w:eastAsia="Arial" w:hAnsi="Arial" w:cs="Arial"/>
                <w:b/>
                <w:bCs/>
                <w:noProof/>
                <w:color w:val="000000"/>
                <w:lang w:val="ru-RU" w:eastAsia="ru-RU" w:bidi="ru-RU"/>
              </w:rPr>
              <w:t>Техническая спецификация</w:t>
            </w:r>
          </w:p>
        </w:tc>
      </w:tr>
      <w:tr w:rsidR="00450AAF">
        <w:trPr>
          <w:trHeight w:val="7230"/>
        </w:trPr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0AAF" w:rsidRDefault="003E581E">
            <w:pPr>
              <w:spacing w:after="0"/>
              <w:contextualSpacing/>
              <w:jc w:val="center"/>
              <w:rPr>
                <w:rFonts w:ascii="GHEA Grapalat" w:hAnsi="GHEA Grapalat"/>
                <w:b/>
                <w:noProof/>
                <w:lang w:val="hy-AM"/>
              </w:rPr>
            </w:pPr>
            <w:r>
              <w:rPr>
                <w:rFonts w:ascii="Arial" w:eastAsia="Arial" w:hAnsi="Arial" w:cs="Arial"/>
                <w:b/>
                <w:noProof/>
                <w:lang w:val="ru-RU" w:eastAsia="ru-RU" w:bidi="ru-RU"/>
              </w:rPr>
              <w:t>Техника, приборы и оборудование</w:t>
            </w:r>
          </w:p>
          <w:p w:rsidR="00450AAF" w:rsidRDefault="00450AAF">
            <w:pPr>
              <w:spacing w:after="0"/>
              <w:contextualSpacing/>
              <w:jc w:val="center"/>
              <w:rPr>
                <w:rFonts w:ascii="GHEA Grapalat" w:hAnsi="GHEA Grapalat"/>
                <w:b/>
                <w:noProof/>
                <w:lang w:val="hy-AM"/>
              </w:rPr>
            </w:pPr>
          </w:p>
          <w:tbl>
            <w:tblPr>
              <w:tblW w:w="10795" w:type="dxa"/>
              <w:tblLayout w:type="fixed"/>
              <w:tblLook w:val="04A0" w:firstRow="1" w:lastRow="0" w:firstColumn="1" w:lastColumn="0" w:noHBand="0" w:noVBand="1"/>
            </w:tblPr>
            <w:tblGrid>
              <w:gridCol w:w="700"/>
              <w:gridCol w:w="1455"/>
              <w:gridCol w:w="1018"/>
              <w:gridCol w:w="4382"/>
              <w:gridCol w:w="905"/>
              <w:gridCol w:w="900"/>
              <w:gridCol w:w="1435"/>
            </w:tblGrid>
            <w:tr w:rsidR="00450AAF">
              <w:trPr>
                <w:trHeight w:val="54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450AAF" w:rsidRDefault="003E581E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noProof/>
                      <w:sz w:val="20"/>
                      <w:szCs w:val="20"/>
                      <w:lang w:val="ru-RU" w:eastAsia="ru-RU" w:bidi="ru-RU"/>
                    </w:rPr>
                    <w:t>№ п/п</w:t>
                  </w:r>
                </w:p>
              </w:tc>
              <w:tc>
                <w:tcPr>
                  <w:tcW w:w="14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50AAF" w:rsidRDefault="003E581E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noProof/>
                      <w:sz w:val="20"/>
                      <w:szCs w:val="20"/>
                      <w:lang w:val="ru-RU" w:eastAsia="ru-RU" w:bidi="ru-RU"/>
                    </w:rPr>
                    <w:t>Наименование товара</w:t>
                  </w:r>
                </w:p>
              </w:tc>
              <w:tc>
                <w:tcPr>
                  <w:tcW w:w="10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50AAF" w:rsidRDefault="003E581E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noProof/>
                      <w:sz w:val="20"/>
                      <w:szCs w:val="20"/>
                      <w:lang w:val="ru-RU" w:eastAsia="ru-RU" w:bidi="ru-RU"/>
                    </w:rPr>
                    <w:t xml:space="preserve">Проектный код </w:t>
                  </w:r>
                </w:p>
              </w:tc>
              <w:tc>
                <w:tcPr>
                  <w:tcW w:w="4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50AAF" w:rsidRDefault="003E581E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noProof/>
                      <w:sz w:val="20"/>
                      <w:szCs w:val="20"/>
                      <w:lang w:val="ru-RU" w:eastAsia="ru-RU" w:bidi="ru-RU"/>
                    </w:rPr>
                    <w:t>Описание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50AAF" w:rsidRDefault="003E581E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noProof/>
                      <w:sz w:val="20"/>
                      <w:szCs w:val="20"/>
                      <w:lang w:val="ru-RU" w:eastAsia="ru-RU" w:bidi="ru-RU"/>
                    </w:rPr>
                    <w:t>Ед. изм.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50AAF" w:rsidRDefault="003E581E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noProof/>
                      <w:sz w:val="20"/>
                      <w:szCs w:val="20"/>
                      <w:lang w:val="ru-RU" w:eastAsia="ru-RU" w:bidi="ru-RU"/>
                    </w:rPr>
                    <w:t>Количество</w:t>
                  </w:r>
                </w:p>
              </w:tc>
              <w:tc>
                <w:tcPr>
                  <w:tcW w:w="14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50AAF" w:rsidRDefault="003E581E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b/>
                      <w:bCs/>
                      <w:noProof/>
                      <w:sz w:val="20"/>
                      <w:szCs w:val="20"/>
                      <w:lang w:val="ru-RU" w:eastAsia="ru-RU" w:bidi="ru-RU"/>
                    </w:rPr>
                    <w:t>Ориентировочная фотография</w:t>
                  </w:r>
                </w:p>
              </w:tc>
            </w:tr>
            <w:tr w:rsidR="00450AAF">
              <w:trPr>
                <w:trHeight w:val="484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Потолочный электрический проекционный экран с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системой roll-down (motorized)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1-01/01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1-01/01  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Потолочный электрический проекционный экран: синхронная моторизованная система; размер — не менее 200×200 см (согласовать с заказчиком)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Поверхность: матовая, антибликовая, с высоким коэффициентом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отражения (gain: 1,0–1,2)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Конструкция: электрическая система roll-down (motorized) с ровным сматыванием, в прочном металлическом или алюминиевом корпусе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Крепление: возможность потолочного монтажа с помощью соответствующих крепежных элементов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Применение: дл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я проекторов; должен обеспечивать четкое и качественное изображение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Цвет: белая проекционная поверхность с черной окантовкой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Безопасность и качество: прочное изделие заводского изготовления, в защитной упаковке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408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Потолочный электрический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проекционный экран с системой roll-down (motorized)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4/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1-01/01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Размер: не менее 240×240 см,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Поверхность: матовая, антибликовая, с высоким коэффициентом отражения (gain: 1,0–1,2); должна обеспечивать четкое изображение, в том числе с большого расстояния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Ко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нструкция: электрическая система roll-down (motorized) с износостойким механизмом, в прочном алюминиевом/металлическом корпусе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Крепление: надежный потолочный или настенный монтаж с помощью усиленных крепежных элементов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Применение: для залов и больших помещ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ений; должен обеспечивать высококачественное проекционное изображение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Цвет: белая проекционная поверхность с черной окантовкой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Безопасность и качество: изделие промышленного качества, прочная конструкция, заводская упаковка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306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6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Кофемашина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-10-10/10                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-10-10/10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4/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6-06/06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 Кофемашина, рассчитанная на одновременное приготовление двух чашек кофе. Мощность — не менее 1450W. Максимальное давление — 15 bar. Объем резервуара для воды — 1500-1800 мл. Доставка, разгрузка, устано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вка и подключение осуществляются силами и средствами поставщика. Вместимость контейнера для кофейных зерен — 250 (г). Гарантийный срок — не менее 1 года. Товар должен быть новым, не бывшим в употреблении и не восстановленным.     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53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7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Ламинатор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-10-10/10                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-10-10/10                                    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4/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6-06/06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Техническая спецификация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Ширина ламинирования: до 13 дюймов (формат A3)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Толщина бумаги/пакета: 3–10 mil (на одну сторону)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Валы: система из 4–6 валов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Время нагрева: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около 30–55 секунд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Скорость: 40–90 дюймов/мин (в зависимости от варианта исполнения)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Поддерживаемые размеры: от ID-карты до 13" × 19"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Функции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Автоматическая система предотвращения замятия (Anti-jam)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Reverse (обратная подача)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Автоматическая регулировка темп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ературы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Возможность ламинирования фольгой (Foil applicator)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Электрические характеристики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Напряжение: 220V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Размеры и масса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Размеры: около 470 × 135 × 80 mm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Масса: около 2,9–4 кг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89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8</w:t>
                  </w:r>
                </w:p>
              </w:tc>
              <w:tc>
                <w:tcPr>
                  <w:tcW w:w="14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Беговая дорожка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4-04/04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8-08/08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4-04/04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8-08/08    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• Тип: электрическая беговая дорожка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Применение: для тренажерных залов или интенсивного бытового использования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Назначение: адаптирована для лиц с инвалидностью и пользователей с ограниченной подвижностью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Мощность двигателя: DC2.5HP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Скор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ость: 1–14 км/ч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Беговое полотно: 1220x420 мм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Управление: цифровой дисплей с отображением скорости, времени, расстояния, калорий и частоты пульса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Максимальная нагрузка: 100–120 кг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Конструкция: прочная, устойчивая, с низким уровнем шума при работе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•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Безопасность: система аварийной остановки (safety key)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Качество: прочная, износостойкая, рассчитанная на длительную эксплуатацию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Масса изделия — около 50 кг. На этапе исполнения договора предоставить гарантийное письмо от производителя товара или его пре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дставителя либо сертификат соответствия. Гарантийное обслуживание — в официальном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lastRenderedPageBreak/>
                    <w:t>сервисном центре производителя. Гарантия — не менее 365 дней.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lastRenderedPageBreak/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32128" behindDoc="0" locked="0" layoutInCell="1" allowOverlap="1">
                        <wp:simplePos x="0" y="0"/>
                        <wp:positionH relativeFrom="column">
                          <wp:posOffset>66675</wp:posOffset>
                        </wp:positionH>
                        <wp:positionV relativeFrom="paragraph">
                          <wp:posOffset>838200</wp:posOffset>
                        </wp:positionV>
                        <wp:extent cx="533400" cy="800100"/>
                        <wp:effectExtent l="0" t="0" r="0" b="0"/>
                        <wp:wrapNone/>
                        <wp:docPr id="51" name="Picture 51" title="Imag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image2.png" title="Image"/>
                                <pic:cNvPicPr preferRelativeResize="0"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340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450AAF">
              <w:trPr>
                <w:trHeight w:val="714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9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Велотренажер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4-04/04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8-08/08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4-04/04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8-08/08   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13-13/13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• Тип: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велотренажер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Применение: предназначен для использования в тренажерных залах, реабилитации и интенсивного бытового использования, в том числе для физической активности и реабилитационных занятий лиц с инвалидностью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Система: магнитная или электромагнитна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я система нагрузки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Уровни нагрузки: от 8 до 16 уровней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Управление: цифровой дисплей с отображением времени, скорости, расстояния, калорий и частоты пульса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Сиденье: регулируемое по высоте и положению, 70-100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Конструкция: прочная, устойчивая, с ни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зким уровнем шума при работе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Педали: нескользящие, с фиксирующими ремнями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Максимальная нагрузка: 100-150 кг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Дополнительно: колеса для удобного перемещения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Качество: прочный, износостойкий, рассчитанный на длительную эксплуатацию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35200" behindDoc="0" locked="0" layoutInCell="1" allowOverlap="1">
                        <wp:simplePos x="0" y="0"/>
                        <wp:positionH relativeFrom="column">
                          <wp:posOffset>66675</wp:posOffset>
                        </wp:positionH>
                        <wp:positionV relativeFrom="paragraph">
                          <wp:posOffset>838200</wp:posOffset>
                        </wp:positionV>
                        <wp:extent cx="504825" cy="628650"/>
                        <wp:effectExtent l="0" t="0" r="9525" b="0"/>
                        <wp:wrapNone/>
                        <wp:docPr id="50" name="Picture 50" title="Imag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image3.png" title="Image"/>
                                <pic:cNvPicPr preferRelativeResize="0"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1650" cy="6235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450AAF">
              <w:trPr>
                <w:trHeight w:val="663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10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Тренажер для ходьбы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4-04/04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8-08/08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4-04/04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8-08/08   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13-13/13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• Тип: тренажер для ходьбы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Назначение: для использования в тренажерном зале или интенсивного бытового использования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Система: механическая, магнитная или электро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нная система сопротивления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Размеры: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Длина: 120-160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Ширина: 55-75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Высота: 150-175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Длина шага: 30-45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Максимальный вес пользователя: 120-150 кг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Вес тренажера: около 40-70 кг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Уровни нагрузки: регулируемые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Управление: цифровой дисплей с отобра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жением времени, количества шагов, калорий и уровня нагрузки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Конструкция: прочная, устойчивая, с низким уровнем шума при работе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Педали: с противоскользящей поверхностью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Рукоятки: эргономичные и устойчивые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Дополнительно: компактная конструкция, возмо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жность удобной транспортировки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Качество: прочный, износостойкий, рассчитанный на длительную эксплуатацию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38272" behindDoc="0" locked="0" layoutInCell="1" allowOverlap="1">
                        <wp:simplePos x="0" y="0"/>
                        <wp:positionH relativeFrom="column">
                          <wp:posOffset>76200</wp:posOffset>
                        </wp:positionH>
                        <wp:positionV relativeFrom="paragraph">
                          <wp:posOffset>1076325</wp:posOffset>
                        </wp:positionV>
                        <wp:extent cx="504825" cy="1000125"/>
                        <wp:effectExtent l="0" t="0" r="9525" b="0"/>
                        <wp:wrapNone/>
                        <wp:docPr id="48" name="Picture 48" title="Imag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image1.png" title="Image"/>
                                <pic:cNvPicPr preferRelativeResize="0"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8635" cy="10045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450AAF">
              <w:trPr>
                <w:trHeight w:val="484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11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Степпер для ходьбы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4-04/04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8-08/08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4-04/04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8-08/08 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Длина: 140–160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Ширина: 75–90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Высота: 160–180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• Уровни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сопротивления при ходьбе — многоступенчатая регулировка (10–20 уровней)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Панель индикации — LCD/LED-дисплей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Отображаемые данные — время, скорость, количество шагов, калории, пульс, уровень нагрузки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Измерение пульса — датчиками на рукоятках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• Рукоятки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— для устойчивости и безопасности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Электропитание — 220V / 50Hz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Конструкция — прочная металлическая рама, противоскользящие платформы для ног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41344" behindDoc="0" locked="0" layoutInCell="1" allowOverlap="1">
                        <wp:simplePos x="0" y="0"/>
                        <wp:positionH relativeFrom="column">
                          <wp:posOffset>57150</wp:posOffset>
                        </wp:positionH>
                        <wp:positionV relativeFrom="paragraph">
                          <wp:posOffset>733425</wp:posOffset>
                        </wp:positionV>
                        <wp:extent cx="657225" cy="1009650"/>
                        <wp:effectExtent l="0" t="0" r="0" b="0"/>
                        <wp:wrapNone/>
                        <wp:docPr id="47" name="Picture 47" title="Imag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image7.png" title="Image"/>
                                <pic:cNvPicPr preferRelativeResize="0"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9605" cy="10128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450AAF">
              <w:trPr>
                <w:trHeight w:val="280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12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Функциональная кушетка 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-8-08/08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-8-08/08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• Тип: функциональная (регулируемая) медицинская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кушетка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Длина — 190–200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Ширина — 60–75 см (модели премиум-класса — до 75 см)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Регулировка высоты — 50–90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Вариант с механической регулировкой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Электрический вариант (с электроприводом)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Максимальная нагрузка — 180–250 кг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• Моющийся противоско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льзящий мягкий слой 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</w:rPr>
                    <w:drawing>
                      <wp:anchor distT="0" distB="0" distL="114300" distR="114300" simplePos="0" relativeHeight="251644416" behindDoc="0" locked="0" layoutInCell="1" allowOverlap="1">
                        <wp:simplePos x="0" y="0"/>
                        <wp:positionH relativeFrom="column">
                          <wp:posOffset>28575</wp:posOffset>
                        </wp:positionH>
                        <wp:positionV relativeFrom="paragraph">
                          <wp:posOffset>609600</wp:posOffset>
                        </wp:positionV>
                        <wp:extent cx="638175" cy="809625"/>
                        <wp:effectExtent l="0" t="0" r="0" b="9525"/>
                        <wp:wrapNone/>
                        <wp:docPr id="46" name="Picture 46" title="Imag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image4.png" title="Image"/>
                                <pic:cNvPicPr preferRelativeResize="0"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0715" cy="8140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450AAF">
              <w:trPr>
                <w:trHeight w:val="178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13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Детская беговая дорожка 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10-10/10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"Размеры: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Длина 60-90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Ширина 30-40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Габаритные размеры тренажера: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Длина 80-120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Ширина 45-50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Высота 70-110 см  "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204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14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Детский степпер 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10-10/10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"Размеры: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Для детей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 2-6 лет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Длина: 35-55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Ширина: 25-40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Высота: 15-25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Размеры педалей: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Длина 10-20 см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Ширина: 8-15 см "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108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15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Тренажер для силовых упражнений 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10-10/10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Для детей 3-6 лет, регулируемый вес 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2789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16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Тренажер «Детский велотренажер» 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10-10/10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Детский механический тренажер, предназначенный для детей от 3 до 8 лет.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Высота сиденья регулируется.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Педали имеют противоскользящую поверхность.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Максимальная нагрузка: 40 кг.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Мягкие рукоятки обеспечивают комфорт.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Работает от 1 батарейки типа AAA.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450AAF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944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17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Устройство для надевания бахил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В тамбурах                 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3-03/03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3-03/03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3/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2-02/02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4/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14-14/14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4/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11-11/11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Автомат для надевания бахил предназначен для обеспечения гигиенического режима в медицинских учреждениях, лабораториях,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цехах пищевого производства, чистых зонах и других организациях. Устройство должно обеспечивать автоматическое надевание бахил без участия рук.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Электропитание устройства должно осуществляться от сети AC 110V/220V, 50/60Hz; мощность — 75 Вт, внутреннее раб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очее напряжение — DC 12V, 6A. Скорость надевания бахил — не более 3 секунд на одну пару.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lastRenderedPageBreak/>
                    <w:br/>
                    <w:t>Устройство должно вмещать до 200 шт. бахил типа PE, до 160 шт. типа CPE или до 100 шт. нетканых (Non-woven) бахил. Должна поддерживаться возможность использования все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х трех указанных типов бахил.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Вес устройства должен составлять 20-21 кг. Цвет: белый, серебристый или золотистый. Исполнение устройства — с опорной стойкой или без нее.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По требованию заказчика должна предусматриваться возможность установки ультрафиолетов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ой (UV) лампы для стерилизации. Также должна быть предусмотрена возможность установки монетоприемника с поддержкой различных типов монет.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Корпус должен быть прочным, устойчивым и пригодным для интенсивной эксплуатации. Поставляемое устройство должно быть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новым, не бывшим в эксплуатации, заводского изготовления, в полной комплектации и с инструкцией по эксплуатации. Гарантийный срок — не менее 12 месяцев.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Для каждого автомата для надевания бахил — 10,000 (десять тысяч) шт. бахил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lastRenderedPageBreak/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382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18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Диспенсер для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воды (кулер)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В коридорах и комнатах отдыха четырех корпусов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-10-10/10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-10-10/10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4/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1-01/01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4/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16-16/16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4/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6-06/06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Диспенсер для воды — с возможностью подачи как минимум горячей и холодной воды, а также воды комнатной температуры; верхнее располо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жение бутыли; количество кранов — 1; мощность нагрева воды — не менее 420 Вт; мощность охлаждения — не менее 100 Вт; производительность нагрева воды — не менее 4 л/ч, охлаждения — не менее 3 л/ч; система защиты от горячей воды — да. Цвет: серебристый/белый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. Наличие держателя для стаканов: да. Габариты (В × Ш × Г): 101–108 × 31–34 × 33–36 см. Тип хладагента: R134a. Электропитание (В/Гц): 220-240 В/50-60 Гц. Гарантийный срок — не менее 1 года.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9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637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19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Холодильник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-10-10/10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-6-06/06                                   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-10-10/10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4/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6-06/06 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4/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7-07/07 (Подвал)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>4/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hy-AM" w:eastAsia="ru-RU" w:bidi="ru-RU"/>
                    </w:rPr>
                    <w:t xml:space="preserve">16-16/16 Пост охраны 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Холодильник однодверный, максимальные размеры 50 x 50 x 84, с внутренней морозильной камерой, системой размораживания Defrost; общий поле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зный объем — не менее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145 л, объем холодильного отделения — не менее 110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л, объем морозильной камеры — не менее 35 л; подключение к электрической розетке евростандарта (европейская вилка CEE7/7 Schuko); класс энергоэффективности A++ или эквивалент; механич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еская система управления; стеклянные полки; стандартный компрессор; климатический класс SN/T; хладагент R600a; годовое энергопотребление — до 120 кВт/год; уровень шума — до 35 dB; цвет серебристый; возможность перенавешивания двери. На этапе исполнения дог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овора представить гарантийное письмо от производителя товара или его представителя либо сертификат соответствия. Гарантийное обслуживание — в официальном сервисном центре производителя. Гарантия — не менее 365 дней.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8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510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20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Морозильник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4/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6-06/06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Подвал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Максимальные размеры морозильника — 1500x900 мм; система размораживания Defrost; общий полезный объем — не менее 299 л; подключение к электрической розетке евростандарта (европейская вилка CEE7/7 Schuko); класс энергоэффективности A++ + или эквивале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нт; механическая система управления; стандартный компрессор; климатический класс SN/T; хладагент R600a; годовое энергопотребление — до 272 кВт/год; уровень шума — до 45 dB; цвет серебристый; возможность перенавешивания двери. На этапе исполнения договора п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редставить гарантийное письмо от производителя товара или его представителя либо сертификат соответствия. Гарантийное обслуживание — в официальном сервисном центре производителя. Цвет серебристый. Гарантия — не менее 365 дней.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612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21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Микроволновая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печь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4/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16-16/16 Пост охраны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Тип: микроволновая печь. Тип управления: сенсорный. Объем: 20–25 литров. Мощность: не менее 2100 Вт. Управление: электронная или механическая панель управления. Программы: режимы разогрева, размораживания и быстрого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приготовления.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Таймер: встроенный. Внутреннее покрытие: легкоочищаемое, термостойкое. Дверца: с термостойким стеклом.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Поворотный стол: встроенный turntable для равномерного нагрева.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Электропитание: 220V / 50Hz. Конструкция: компактная, прочная, современног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о дизайна.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Назначение: для офисного или бытового использования.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Качество: высококачественная, надежная, влагостойкая, рассчитанная на длительную эксплуатацию.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Размеры не менее 50 x 30 x 38 cm.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Гарантийное обслуживание — в официальном сервисном центре произ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водителя. Гарантия — не менее 365 дней.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535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22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Утюг — гладильный пресс с паром (Steam Iron Press)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1. Рабочая поверхность и конструкция.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Прижимная поверхность. Рабочая поверхность размером приблизительно 63 × 26 см, что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значительно больше поверхности обычного ручного утюга. Это позволяет разглаживать большие участки одежды одним движением.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Устойчивость. Устройство имеет прочное основание, которое не скользит во время работы, обеспечивая максимальную безопасность.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2. Терап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евтическое назначение.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Экономия сил. Устройство оптимально подходит для подростков с мышечной слабостью или быстрой утомляемостью, поскольку не требует постоянного перемещения и поднятия утюга.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Безопасность. В отличие от обычного утюга, пресс снижает вероя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тность ожога при случайном прикосновении, поскольку горячая поверхность находится под защитной крышкой.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561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23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Силиконовая подставка для утюга (Ironing Rest Pad)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Термостойкость. Изготовлена из высококачественного силикона,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выдерживающего температуру до 230°C.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Защитные бортики. Имеет противоскользящие защитные бортики, предотвращающие случайное соскальзывание или падение горячего утюга с подставки.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Поверхность. Внутренняя часть снабжена специальными выступами или рельефным ри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сунком, которые ускоряют рассеивание тепла и обеспечивают устойчивое положение утюга.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Уход. Легко моется, не впитывает запахи и влагу.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2. Терапевтическое назначение.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 xml:space="preserve">Данное приспособление важно для лиц с нарушениями координации движений: оно предотвращает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опрокидывание утюга при неустойчивом движении.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Создает четко обозначенную «безопасную зону» для горячего прибора, снижая риск пожара или ожога.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2295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24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Электрическая кофеварка 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 Пост охраны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Электрическая кофеварка на две чашки,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 мощность 800–1200 Вт; емкость резервуара для воды — около 0,5–1 литра, что позволяет приготовить в среднем 8–12 чашек кофе.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Корпус — термостойкий, из пластика или нержавеющей стали; система автоматического отключения при отсутствии воды или перегреве. Гар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антия — не менее 6 месяцев.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357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t>25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Чайник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4/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16-16/16 Пост охраны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Электрический чайник емкостью 1,7–2 л, 220–240 В, 50–60 Гц, с пластмассовой ручкой. Длина шнура (м) — 0,6. Мощность (Вт) — не менее 2200. Материал —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нержавеющая сталь. Цвет — серебристый/черный. Индикатор уровня воды — имеется. Гарантийное обслуживание — в официальном сервисном центре производителя. Гарантия — 365 дней. Выявленные в течение гарантийного срока дефекты поставщик обязан устранить либо зам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енить товар новым в течение 3-5 дней, обеспечив доставку товара в соответствующий сервисный центр и его возврат. Обязательное условие: товар должен быть новым, не бывшим в эксплуатации.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819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26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Пылесос (для сухой и влажной уборки)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Тип: промышленный пылесос для влажной и сухой уборки.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Класс пыли: L (в соответствии со стандартом EN 60335-2-69).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Емкость бака: не менее 30 литров.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Материал бака: ударопрочный пластик.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Расход воздуха: не менее 74 л/с.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Разрежение: не менее 273 мба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р (27,3 кПа).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Электропитание: 220-240 В, 50-60 Гц, однофазное.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Мощность: до 1380 Вт.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Длина кабеля: не менее 7,5 м.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Уровень шума: не более 70 дБ(A).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Номинальный диаметр трубки: DN/ID 35 мм.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Вес (без принадлежностей): не более 12 кг.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Пылесос должен иметь пол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уавтоматическую систему очистки фильтра (AP).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Должен обеспечивать сбор жидкостей, сухого мусора и мелкой пыли.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Должен иметь плоский складчатый фильтр и систему его легкой замены.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Должна быть предусмотрена встроенная система хранения принадлежностей и кабел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я питания.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Класс защиты: не ниже II.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Устройство должно поставляться со следующими принадлежностями: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всасывающий шланг длиной не менее 2,5 м;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всасывающие трубки — 2 шт., металлические;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насадка для влажной/сухой уборки пола;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щелевая насадка;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фильтр-мешок — 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е менее 1 шт.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Размеры: около 525 × 370 × 560 мм или эквивалент.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  <w:tr w:rsidR="00450AAF">
              <w:trPr>
                <w:trHeight w:val="6120"/>
              </w:trPr>
              <w:tc>
                <w:tcPr>
                  <w:tcW w:w="70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i/>
                      <w:iCs/>
                      <w:noProof/>
                      <w:color w:val="000000"/>
                      <w:sz w:val="20"/>
                      <w:szCs w:val="20"/>
                      <w:lang w:val="hy-AM"/>
                    </w:rPr>
                    <w:lastRenderedPageBreak/>
                    <w:t>27</w:t>
                  </w:r>
                </w:p>
              </w:tc>
              <w:tc>
                <w:tcPr>
                  <w:tcW w:w="14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Фен RAF R.4506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1/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-6-06/06 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Մ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2/</w:t>
                  </w:r>
                  <w:r>
                    <w:rPr>
                      <w:rFonts w:ascii="GHEA Grapalat" w:eastAsia="GHEA Grapalat" w:hAnsi="GHEA Grapalat" w:cs="GHEA Grapalat"/>
                      <w:noProof/>
                      <w:color w:val="000000"/>
                      <w:sz w:val="20"/>
                      <w:szCs w:val="20"/>
                      <w:lang w:val="hy-AM" w:eastAsia="hy-AM" w:bidi="hy-AM"/>
                    </w:rPr>
                    <w:t>Ս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-6-06/06</w:t>
                  </w:r>
                </w:p>
              </w:tc>
              <w:tc>
                <w:tcPr>
                  <w:tcW w:w="4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 xml:space="preserve">Фен для волос, предназначенный для бытового и полупрофессионального использования. Устройство должно обеспечивать быструю и эффективную 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сушку; мощность — 1800–2200 Вт. Устройство должно иметь прочный корпус из высококачественного пластика; цвет — черный или эквивалентный. Устройство должно иметь не менее 2 температурных режимов и не менее 2 скоростей, обеспечивающих уход за волосами различ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ных типов.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Устройство должно иметь функцию подачи холодного воздуха (cool shot), быть укомплектовано насадкой-концентратором (concentrator nozzle) и обеспечивать направленный воздушный поток. Устройство должно иметь систему защиты от перегрузки и перегрева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, а также петлю для подвешивания и удобного хранения.</w:t>
                  </w: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br/>
                    <w:t>Напряжение питания — 220–240 В, частота — 50–60 Гц. Поставляемый товар должен быть новым, не бывшим в эксплуатации, в заводской упаковке. Для всех размеров допускается отклонение ±5%.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Arial" w:eastAsia="Arial" w:hAnsi="Arial" w:cs="Arial"/>
                      <w:noProof/>
                      <w:color w:val="000000"/>
                      <w:sz w:val="20"/>
                      <w:szCs w:val="20"/>
                      <w:lang w:val="ru-RU" w:eastAsia="ru-RU" w:bidi="ru-RU"/>
                    </w:rPr>
                    <w:t>шт.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14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450AAF" w:rsidRDefault="003E581E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noProof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eastAsia="Times New Roman" w:cs="Calibri"/>
                      <w:noProof/>
                      <w:color w:val="000000"/>
                      <w:sz w:val="20"/>
                      <w:szCs w:val="20"/>
                      <w:lang w:val="hy-AM"/>
                    </w:rPr>
                    <w:t> </w:t>
                  </w:r>
                </w:p>
              </w:tc>
            </w:tr>
          </w:tbl>
          <w:p w:rsidR="00450AAF" w:rsidRDefault="00450AAF">
            <w:pPr>
              <w:spacing w:after="0"/>
              <w:contextualSpacing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  <w:p w:rsidR="00450AAF" w:rsidRDefault="00450AAF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sz w:val="20"/>
                <w:szCs w:val="20"/>
                <w:lang w:val="hy-AM"/>
              </w:rPr>
            </w:pPr>
          </w:p>
          <w:p w:rsidR="00450AAF" w:rsidRDefault="00450AAF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noProof/>
                <w:color w:val="000000"/>
                <w:lang w:val="hy-AM"/>
              </w:rPr>
            </w:pPr>
          </w:p>
        </w:tc>
      </w:tr>
    </w:tbl>
    <w:p w:rsidR="00450AAF" w:rsidRDefault="00450AAF">
      <w:pPr>
        <w:spacing w:after="160" w:line="259" w:lineRule="auto"/>
      </w:pPr>
    </w:p>
    <w:p w:rsidR="00450AAF" w:rsidRDefault="003E581E">
      <w:pPr>
        <w:spacing w:after="0" w:line="240" w:lineRule="auto"/>
      </w:pPr>
      <w:r>
        <w:br w:type="page"/>
      </w:r>
    </w:p>
    <w:p w:rsidR="00450AAF" w:rsidRDefault="00450AAF">
      <w:pPr>
        <w:spacing w:after="160" w:line="259" w:lineRule="auto"/>
      </w:pPr>
    </w:p>
    <w:p w:rsidR="00450AAF" w:rsidRDefault="003E581E">
      <w:pPr>
        <w:spacing w:after="160" w:line="259" w:lineRule="auto"/>
        <w:jc w:val="center"/>
        <w:rPr>
          <w:rFonts w:ascii="GHEA Grapalat" w:eastAsia="Times New Roman" w:hAnsi="GHEA Grapalat"/>
          <w:b/>
          <w:noProof/>
          <w:lang w:val="hy-AM"/>
        </w:rPr>
      </w:pPr>
      <w:r>
        <w:rPr>
          <w:rFonts w:ascii="Arial" w:eastAsia="Arial" w:hAnsi="Arial" w:cs="Arial"/>
          <w:b/>
          <w:noProof/>
          <w:lang w:val="ru-RU" w:eastAsia="ru-RU" w:bidi="ru-RU"/>
        </w:rPr>
        <w:t>ЛОТ  3</w:t>
      </w:r>
    </w:p>
    <w:p w:rsidR="00450AAF" w:rsidRDefault="003E581E">
      <w:pPr>
        <w:spacing w:after="0" w:line="240" w:lineRule="auto"/>
        <w:contextualSpacing/>
        <w:jc w:val="center"/>
        <w:rPr>
          <w:rFonts w:ascii="GHEA Grapalat" w:eastAsia="Times New Roman" w:hAnsi="GHEA Grapalat" w:cs="Calibri"/>
          <w:b/>
          <w:bCs/>
          <w:noProof/>
          <w:color w:val="000000"/>
          <w:lang w:val="hy-AM"/>
        </w:rPr>
      </w:pPr>
      <w:r>
        <w:rPr>
          <w:rFonts w:ascii="Arial" w:eastAsia="Arial" w:hAnsi="Arial" w:cs="Arial"/>
          <w:b/>
          <w:bCs/>
          <w:noProof/>
          <w:color w:val="000000"/>
          <w:lang w:val="ru-RU" w:eastAsia="ru-RU" w:bidi="ru-RU"/>
        </w:rPr>
        <w:t>Техническая спецификация</w:t>
      </w:r>
    </w:p>
    <w:p w:rsidR="00450AAF" w:rsidRDefault="003E581E">
      <w:pPr>
        <w:spacing w:after="0" w:line="259" w:lineRule="auto"/>
        <w:contextualSpacing/>
        <w:jc w:val="center"/>
        <w:rPr>
          <w:rFonts w:ascii="GHEA Grapalat" w:hAnsi="GHEA Grapalat"/>
          <w:b/>
          <w:noProof/>
          <w:lang w:val="hy-AM"/>
        </w:rPr>
      </w:pPr>
      <w:r>
        <w:rPr>
          <w:rFonts w:ascii="Arial" w:eastAsia="Arial" w:hAnsi="Arial" w:cs="Arial"/>
          <w:b/>
          <w:noProof/>
          <w:lang w:val="ru-RU" w:eastAsia="ru-RU" w:bidi="ru-RU"/>
        </w:rPr>
        <w:t>Средства альтернативной коммуникации</w:t>
      </w:r>
    </w:p>
    <w:p w:rsidR="00450AAF" w:rsidRDefault="00450AAF">
      <w:pPr>
        <w:spacing w:after="160" w:line="259" w:lineRule="auto"/>
        <w:jc w:val="center"/>
      </w:pPr>
    </w:p>
    <w:tbl>
      <w:tblPr>
        <w:tblW w:w="9355" w:type="dxa"/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1260"/>
        <w:gridCol w:w="4230"/>
        <w:gridCol w:w="990"/>
        <w:gridCol w:w="720"/>
      </w:tblGrid>
      <w:tr w:rsidR="00450AAF">
        <w:trPr>
          <w:trHeight w:val="9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</w:pPr>
            <w:r>
              <w:rPr>
                <w:rFonts w:ascii="Arial" w:eastAsia="Arial" w:hAnsi="Arial" w:cs="Arial"/>
                <w:b/>
                <w:bCs/>
                <w:noProof/>
                <w:lang w:val="ru-RU" w:eastAsia="ru-RU" w:bidi="ru-RU"/>
              </w:rPr>
              <w:t>№ п/п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</w:pPr>
            <w:r>
              <w:rPr>
                <w:rFonts w:ascii="Arial" w:eastAsia="Arial" w:hAnsi="Arial" w:cs="Arial"/>
                <w:b/>
                <w:bCs/>
                <w:noProof/>
                <w:lang w:val="ru-RU" w:eastAsia="ru-RU" w:bidi="ru-RU"/>
              </w:rPr>
              <w:t>Наименование товара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</w:pPr>
            <w:r>
              <w:rPr>
                <w:rFonts w:ascii="Arial" w:eastAsia="Arial" w:hAnsi="Arial" w:cs="Arial"/>
                <w:b/>
                <w:bCs/>
                <w:noProof/>
                <w:lang w:val="ru-RU" w:eastAsia="ru-RU" w:bidi="ru-RU"/>
              </w:rPr>
              <w:t xml:space="preserve">Код 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</w:pPr>
            <w:r>
              <w:rPr>
                <w:rFonts w:ascii="Arial" w:eastAsia="Arial" w:hAnsi="Arial" w:cs="Arial"/>
                <w:b/>
                <w:bCs/>
                <w:noProof/>
                <w:lang w:val="ru-RU" w:eastAsia="ru-RU" w:bidi="ru-RU"/>
              </w:rPr>
              <w:t>Описание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</w:pPr>
            <w:r>
              <w:rPr>
                <w:rFonts w:ascii="Arial" w:eastAsia="Arial" w:hAnsi="Arial" w:cs="Arial"/>
                <w:b/>
                <w:bCs/>
                <w:noProof/>
                <w:lang w:val="ru-RU" w:eastAsia="ru-RU" w:bidi="ru-RU"/>
              </w:rPr>
              <w:t>Ед. изм.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noProof/>
                <w:lang w:val="hy-AM"/>
              </w:rPr>
            </w:pPr>
            <w:r>
              <w:rPr>
                <w:rFonts w:ascii="Arial" w:eastAsia="Arial" w:hAnsi="Arial" w:cs="Arial"/>
                <w:b/>
                <w:bCs/>
                <w:noProof/>
                <w:lang w:val="ru-RU" w:eastAsia="ru-RU" w:bidi="ru-RU"/>
              </w:rPr>
              <w:t>Количество</w:t>
            </w:r>
          </w:p>
        </w:tc>
      </w:tr>
      <w:tr w:rsidR="00450AAF">
        <w:trPr>
          <w:trHeight w:val="66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eastAsia="ru-RU" w:bidi="ru-RU"/>
              </w:rPr>
              <w:t xml:space="preserve">PCEye 5 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с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eastAsia="ru-RU" w:bidi="ru-RU"/>
              </w:rPr>
              <w:t xml:space="preserve"> TD Control (PCEye 5 with TD Control)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Մ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2/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Ս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-13-13/13</w:t>
            </w:r>
          </w:p>
        </w:tc>
        <w:tc>
          <w:tcPr>
            <w:tcW w:w="4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 xml:space="preserve">Eye Tracking &amp; Computer Access / Управление взглядом и доступ 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к компьютеру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450AAF">
        <w:trPr>
          <w:trHeight w:val="899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Крепление PCEye (PCEye Bracket)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Մ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2/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Ս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Специальное металлическое крепление (bracket), которое надежно фиксирует датчик отслеживания взгляда на планшете, обеспечивая точность его положения и устойчивость.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450AAF">
        <w:trPr>
          <w:trHeight w:val="1367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 xml:space="preserve">Microsoft 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Surface Pro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Մ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2/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Ս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Устройство «два в одном»: ноутбук + планшет, работающее под управлением полнофункциональной версии операционной системы Windows. Благодаря небольшому весу и высокой производительности оно является оптимальной платформой для програ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ммы Grid 3 и устройств с управлением взглядом.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450AAF">
        <w:trPr>
          <w:trHeight w:val="1178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Обучающее программное обеспечение Look to Learn</w:t>
            </w:r>
          </w:p>
          <w:p w:rsidR="00450AAF" w:rsidRDefault="00450AAF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Մ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2/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Ս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 xml:space="preserve">Обучающий и развивающий программный пакет, предназначенный для формирования и совершенствования навыков управления взглядом. Включает 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более 40 игровых заданий (лицензионное программное обеспечение).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highlight w:val="yellow"/>
                <w:lang w:val="ru-RU" w:eastAsia="ru-RU" w:bidi="ru-RU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450AAF">
        <w:trPr>
          <w:trHeight w:val="2222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Программное обеспечение Look Lab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Մ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2/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Ս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 xml:space="preserve">Look Lab представляет собой основанную на технологиях eye-tracking (отслеживания движений глаз) систему исследования и оценки 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зрительного внимания и зрительного поведения. Применяется как в исследовательской, так и в прикладной (терапевтической и образовательной) среде для оценки и развития зрительного внимания, восприятия и коммуникативных способностей человека (лицензионное про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граммное обеспечение).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highlight w:val="yellow"/>
                <w:lang w:val="ru-RU" w:eastAsia="ru-RU" w:bidi="ru-RU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450AAF">
        <w:trPr>
          <w:trHeight w:val="26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eastAsia="ru-RU" w:bidi="ru-RU"/>
              </w:rPr>
              <w:t xml:space="preserve">7. 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Система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крепления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eastAsia="ru-RU" w:bidi="ru-RU"/>
              </w:rPr>
              <w:t xml:space="preserve"> TC L3D 3QS UDS (Mounting System)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Մ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2/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Ս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Монтажные решения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 xml:space="preserve">Профессиональная 3D-система крепления с технологией QuickShift. Надежно фиксирует устройство на кресле-коляске или столе, обеспечивая 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правильный угол направления взгляда.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450AAF">
        <w:trPr>
          <w:trHeight w:val="165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lang w:val="ru-RU" w:eastAsia="ru-RU" w:bidi="ru-RU"/>
              </w:rPr>
              <w:t>Блок</w:t>
            </w:r>
            <w:r>
              <w:rPr>
                <w:rFonts w:ascii="Arial" w:eastAsia="Arial" w:hAnsi="Arial" w:cs="Arial"/>
                <w:lang w:eastAsia="ru-RU" w:bidi="ru-RU"/>
              </w:rPr>
              <w:t xml:space="preserve"> </w:t>
            </w:r>
            <w:r>
              <w:rPr>
                <w:rFonts w:ascii="Arial" w:eastAsia="Arial" w:hAnsi="Arial" w:cs="Arial"/>
                <w:lang w:val="ru-RU" w:eastAsia="ru-RU" w:bidi="ru-RU"/>
              </w:rPr>
              <w:t>управления</w:t>
            </w:r>
            <w:r>
              <w:rPr>
                <w:rFonts w:ascii="Arial" w:eastAsia="Arial" w:hAnsi="Arial" w:cs="Arial"/>
                <w:lang w:eastAsia="ru-RU" w:bidi="ru-RU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lang w:eastAsia="ru-RU" w:bidi="ru-RU"/>
              </w:rPr>
              <w:t>PowerLink</w:t>
            </w:r>
            <w:proofErr w:type="spellEnd"/>
            <w:r>
              <w:rPr>
                <w:rFonts w:ascii="Arial" w:eastAsia="Arial" w:hAnsi="Arial" w:cs="Arial"/>
                <w:lang w:eastAsia="ru-RU" w:bidi="ru-RU"/>
              </w:rPr>
              <w:t xml:space="preserve"> 4</w:t>
            </w:r>
          </w:p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PowerLink 4 Control Unit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Մ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2/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Ս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 xml:space="preserve">-13-13/13    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Մ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2/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Ս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-6-06/06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Управление окружающей средой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 xml:space="preserve">Панель управления электрическими приборами, позволяющая пользователю включать и выключать 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устройства (лампу, вентилятор) взглядом или кнопками. Имеет 6 режимов управления.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8</w:t>
            </w:r>
          </w:p>
        </w:tc>
      </w:tr>
      <w:tr w:rsidR="00450AAF">
        <w:trPr>
          <w:trHeight w:val="224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BJ-245 BJ ToyBox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Մ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2/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Ս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 xml:space="preserve">USB-интерфейс для управления устройствами непосредственно из коммуникационного программного обеспечения. Является связующим звеном, 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позволяющим пользователю взаимодействовать с оборудованием через интерфейс AAC. При подключении ToyBox к PowerLink 4 пользователь может с помощью Grid 3 включать и выключать освещение в помещении или телевизор, что обеспечивает полную самостоятельность.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шт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450AAF">
        <w:trPr>
          <w:trHeight w:val="2456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Игрушки, адаптированные для управления переключателем (Switch Adapted Toys)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Մ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2/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Ս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Игрушки, адаптированные для управления внешним устройством switch (переключателем). Управление: активация одной кнопкой (single switch access)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>Виды: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 xml:space="preserve">звуковые 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игрушки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>движущиеся игрушки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>световые/музыкальные игрушки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>Материал: безопасный пластик и мягкий ударопрочный материал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>Механизм, не требующий значительных усилий для активации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комплект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450AAF">
        <w:trPr>
          <w:trHeight w:val="881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 xml:space="preserve">Коммуникационное устройство ProxTalker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Մ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2/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Ս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Устройство AAC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 xml:space="preserve"> на основе технологии RFID, которое записывает и воспроизводит сообщения с помощью специальных карт с чипами (tag).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1</w:t>
            </w:r>
          </w:p>
        </w:tc>
      </w:tr>
      <w:tr w:rsidR="00450AAF">
        <w:trPr>
          <w:trHeight w:val="26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Коммуникационное устройство QuickTalker FT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Մ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2/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Ս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Коммуникационное устройство AAC с несколькими записываемыми сообщениями.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Количество кнопок: 7 / 12 / 23 (в зависимости от модели)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>Уровни записи: до 5 уровней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комплект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3</w:t>
            </w:r>
          </w:p>
        </w:tc>
      </w:tr>
      <w:tr w:rsidR="00450AAF">
        <w:trPr>
          <w:trHeight w:val="231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hy-AM" w:eastAsia="ru-RU" w:bidi="ru-RU"/>
              </w:rPr>
              <w:t>Коммуникационные устройства с переключателем (Switch): BIGmack, LITTLEmack, Talk2, Talk4, BIG Step-by-Step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Մ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2/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Ս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-13-13/13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Простые коммуникационные устройства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 xml:space="preserve"> AAC с возможностью записи сообщений, активируемые нажатием кнопки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>BIGmack / LITTLEmack — одно сообщение (single-message), продолжительность записи до 2 минут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>Talk2 / Talk4 — 2 или 4 сообщения (multi-message)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комплект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3</w:t>
            </w:r>
          </w:p>
        </w:tc>
      </w:tr>
      <w:tr w:rsidR="00450AAF">
        <w:trPr>
          <w:trHeight w:val="1988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 xml:space="preserve">Детский чехол JETech для 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11-дюймового устройства (11-е поколение)</w:t>
            </w:r>
          </w:p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 xml:space="preserve">JETech Kids </w:t>
            </w: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lastRenderedPageBreak/>
              <w:t>Case for 11-inch (11th Generation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lastRenderedPageBreak/>
              <w:t>Մ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2/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Ս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-13-13/13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Защитный чехол, совместимый с моделями iPad 11".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>Материал: легкий ударопрочный вспененный EVA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>Конструкция: утолщенные края для защиты экрана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>Ручка: для удо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бной переноски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>Подставка (stand): для использования на столе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9</w:t>
            </w:r>
          </w:p>
        </w:tc>
      </w:tr>
      <w:tr w:rsidR="00450AAF">
        <w:trPr>
          <w:trHeight w:val="1376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lastRenderedPageBreak/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 xml:space="preserve">Коммуникационное устройство Talk4 (или iTalk4)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Մ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2/</w:t>
            </w:r>
            <w:r>
              <w:rPr>
                <w:rFonts w:ascii="GHEA Grapalat" w:eastAsia="GHEA Grapalat" w:hAnsi="GHEA Grapalat" w:cs="GHEA Grapalat"/>
                <w:noProof/>
                <w:color w:val="000000"/>
                <w:sz w:val="20"/>
                <w:szCs w:val="20"/>
                <w:lang w:val="hy-AM" w:eastAsia="hy-AM" w:bidi="hy-AM"/>
              </w:rPr>
              <w:t>Ս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-6-06/06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Простое коммуникационное устройство AAC с возможностью записи сообщений, активируемое нажатием кнопки: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br/>
              <w:t xml:space="preserve">4 сообщения 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(multi-message)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6</w:t>
            </w:r>
          </w:p>
        </w:tc>
      </w:tr>
      <w:tr w:rsidR="00450AAF">
        <w:trPr>
          <w:trHeight w:val="66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 xml:space="preserve"> BIGmack</w:t>
            </w:r>
          </w:p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коммуникационные устройства с переключателем (BIGmack)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noProof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Простое коммуникационное устройство AAC с возможностью записи сообщений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шт.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4</w:t>
            </w:r>
          </w:p>
        </w:tc>
      </w:tr>
      <w:tr w:rsidR="00450AAF">
        <w:trPr>
          <w:trHeight w:val="132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Программное обеспечение Grid 3 (Grid 3 Software)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noProof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Специализированная программа для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 xml:space="preserve"> символьной и текстовой коммуникации. Включает средства для пользования интернетом и социальными сетями, а также для управления окружающей средой (лицензионное программное обеспечение).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2</w:t>
            </w:r>
          </w:p>
        </w:tc>
      </w:tr>
      <w:tr w:rsidR="00450AAF">
        <w:trPr>
          <w:trHeight w:val="221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Программное обеспечение Grid for iPad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hy-AM"/>
              </w:rPr>
            </w:pPr>
            <w:r>
              <w:rPr>
                <w:rFonts w:eastAsia="Times New Roman" w:cs="Calibri"/>
                <w:noProof/>
                <w:color w:val="000000"/>
                <w:sz w:val="20"/>
                <w:szCs w:val="20"/>
                <w:lang w:val="hy-AM"/>
              </w:rPr>
              <w:t> 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 xml:space="preserve">Программа AAC для 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iPad, позволяющая общаться с помощью изображений, символов и текста. Возможности: символьная коммуникация (symbol-based), текстовая коммуникация (text-to-speech), создание индивидуальных страниц и словаря, высококачественное озвучивание, настраиваемый инте</w:t>
            </w: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рфейс для пользователей разного уровня (лицензионное программное обеспечение).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noProof/>
                <w:color w:val="000000"/>
                <w:sz w:val="20"/>
                <w:szCs w:val="20"/>
                <w:lang w:val="ru-RU" w:eastAsia="ru-RU" w:bidi="ru-RU"/>
              </w:rPr>
              <w:t>шт.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50AAF" w:rsidRDefault="003E581E">
            <w:pPr>
              <w:spacing w:after="0" w:line="240" w:lineRule="auto"/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noProof/>
                <w:sz w:val="20"/>
                <w:szCs w:val="20"/>
                <w:lang w:val="hy-AM"/>
              </w:rPr>
              <w:t>9</w:t>
            </w:r>
          </w:p>
        </w:tc>
      </w:tr>
    </w:tbl>
    <w:p w:rsidR="00450AAF" w:rsidRDefault="00450AAF">
      <w:pPr>
        <w:pStyle w:val="BodyTextIndent3"/>
        <w:spacing w:after="0"/>
        <w:contextualSpacing/>
        <w:jc w:val="right"/>
        <w:rPr>
          <w:rFonts w:ascii="GHEA Grapalat" w:hAnsi="GHEA Grapalat" w:cs="Sylfaen"/>
          <w:b/>
          <w:noProof/>
          <w:sz w:val="18"/>
          <w:szCs w:val="18"/>
          <w:lang w:val="hy-AM"/>
        </w:rPr>
      </w:pPr>
    </w:p>
    <w:p w:rsidR="00450AAF" w:rsidRDefault="00450AAF">
      <w:pPr>
        <w:pStyle w:val="BodyTextIndent3"/>
        <w:spacing w:after="0"/>
        <w:contextualSpacing/>
        <w:jc w:val="right"/>
        <w:rPr>
          <w:rFonts w:ascii="GHEA Grapalat" w:hAnsi="GHEA Grapalat" w:cs="Sylfaen"/>
          <w:b/>
          <w:noProof/>
          <w:sz w:val="18"/>
          <w:szCs w:val="18"/>
          <w:lang w:val="hy-AM"/>
        </w:rPr>
      </w:pPr>
    </w:p>
    <w:p w:rsidR="00450AAF" w:rsidRDefault="00450AAF">
      <w:pPr>
        <w:pStyle w:val="BodyTextIndent3"/>
        <w:spacing w:after="0"/>
        <w:contextualSpacing/>
        <w:jc w:val="right"/>
        <w:rPr>
          <w:rFonts w:ascii="GHEA Grapalat" w:hAnsi="GHEA Grapalat" w:cs="Sylfaen"/>
          <w:b/>
          <w:noProof/>
          <w:sz w:val="18"/>
          <w:szCs w:val="18"/>
        </w:rPr>
      </w:pPr>
    </w:p>
    <w:bookmarkEnd w:id="0"/>
    <w:bookmarkEnd w:id="1"/>
    <w:p w:rsidR="00344C0A" w:rsidRPr="00344C0A" w:rsidRDefault="00344C0A" w:rsidP="00344C0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344C0A">
        <w:rPr>
          <w:rFonts w:ascii="Times New Roman" w:eastAsia="Times New Roman" w:hAnsi="Times New Roman"/>
          <w:sz w:val="24"/>
          <w:szCs w:val="24"/>
        </w:rPr>
        <w:t xml:space="preserve">·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Результаты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проверки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товаров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представленных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на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приемку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Заказчику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могут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быть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рассмотрены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Заказчиком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в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течение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10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календарных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дней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с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момента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их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представления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.</w:t>
      </w:r>
      <w:proofErr w:type="gramEnd"/>
    </w:p>
    <w:p w:rsidR="00344C0A" w:rsidRPr="00344C0A" w:rsidRDefault="00344C0A" w:rsidP="00344C0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344C0A">
        <w:rPr>
          <w:rFonts w:ascii="Times New Roman" w:eastAsia="Times New Roman" w:hAnsi="Times New Roman"/>
          <w:sz w:val="24"/>
          <w:szCs w:val="24"/>
        </w:rPr>
        <w:t xml:space="preserve">·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При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необходимости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закупку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и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поставку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товаров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осуществлять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в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Центр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независимой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жизни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.</w:t>
      </w:r>
      <w:proofErr w:type="gramEnd"/>
    </w:p>
    <w:p w:rsidR="00344C0A" w:rsidRPr="00344C0A" w:rsidRDefault="00344C0A" w:rsidP="00344C0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344C0A">
        <w:rPr>
          <w:rFonts w:ascii="Times New Roman" w:eastAsia="Times New Roman" w:hAnsi="Times New Roman"/>
          <w:sz w:val="24"/>
          <w:szCs w:val="24"/>
        </w:rPr>
        <w:t xml:space="preserve">·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Поставку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товаров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осуществлять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по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предварительному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согласованию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с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Заказчиком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.</w:t>
      </w:r>
      <w:proofErr w:type="gramEnd"/>
    </w:p>
    <w:p w:rsidR="00344C0A" w:rsidRPr="00344C0A" w:rsidRDefault="00344C0A" w:rsidP="00344C0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344C0A">
        <w:rPr>
          <w:rFonts w:ascii="Times New Roman" w:eastAsia="Times New Roman" w:hAnsi="Times New Roman"/>
          <w:sz w:val="24"/>
          <w:szCs w:val="24"/>
        </w:rPr>
        <w:t xml:space="preserve">·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На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поставленных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товарах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(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если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товар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упакован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—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на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упаковке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)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должен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быть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указан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код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проекта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.</w:t>
      </w:r>
      <w:proofErr w:type="gram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Маркировка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должна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быть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нанесена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таким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образом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чтобы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после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размещения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товаров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в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соответствующих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помещениях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или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на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соответствующей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территории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её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можно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было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удалить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без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повреждения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товара</w:t>
      </w:r>
      <w:proofErr w:type="spellEnd"/>
      <w:r w:rsidRPr="00344C0A">
        <w:rPr>
          <w:rFonts w:ascii="Times New Roman" w:eastAsia="Times New Roman" w:hAnsi="Times New Roman"/>
          <w:b/>
          <w:bCs/>
          <w:sz w:val="24"/>
          <w:szCs w:val="24"/>
        </w:rPr>
        <w:t>.</w:t>
      </w:r>
      <w:proofErr w:type="gramEnd"/>
    </w:p>
    <w:p w:rsidR="00450AAF" w:rsidRDefault="00450AAF" w:rsidP="00344C0A">
      <w:pPr>
        <w:pStyle w:val="BodyTextIndent3"/>
        <w:spacing w:after="0"/>
        <w:contextualSpacing/>
        <w:jc w:val="both"/>
        <w:rPr>
          <w:rFonts w:ascii="GHEA Grapalat" w:hAnsi="GHEA Grapalat" w:cs="Sylfaen"/>
          <w:b/>
          <w:noProof/>
          <w:sz w:val="18"/>
          <w:szCs w:val="18"/>
        </w:rPr>
      </w:pPr>
      <w:bookmarkStart w:id="2" w:name="_GoBack"/>
      <w:bookmarkEnd w:id="2"/>
    </w:p>
    <w:sectPr w:rsidR="00450AAF">
      <w:footerReference w:type="default" r:id="rId14"/>
      <w:pgSz w:w="12240" w:h="15840"/>
      <w:pgMar w:top="540" w:right="616" w:bottom="1080" w:left="1170" w:header="708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81E" w:rsidRDefault="003E581E">
      <w:pPr>
        <w:spacing w:after="0" w:line="240" w:lineRule="auto"/>
      </w:pPr>
      <w:r>
        <w:separator/>
      </w:r>
    </w:p>
  </w:endnote>
  <w:endnote w:type="continuationSeparator" w:id="0">
    <w:p w:rsidR="003E581E" w:rsidRDefault="003E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AAF" w:rsidRDefault="003E581E">
    <w:pPr>
      <w:ind w:right="260"/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7072630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9354185</wp:posOffset>
                  </wp:positionV>
                </mc:Fallback>
              </mc:AlternateContent>
              <wp:extent cx="386715" cy="323215"/>
              <wp:effectExtent l="0" t="0" r="0" b="0"/>
              <wp:wrapNone/>
              <wp:docPr id="49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715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50AAF" w:rsidRDefault="003E581E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344C0A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25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45pt;height:25.4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" fillcolor="white [3201]" stroked="f" strokeweight=".5pt">
              <v:path arrowok="t"/>
              <v:textbox style="mso-fit-shape-to-text:t" inset="0,,0">
                <w:txbxContent>
                  <w:p w:rsidR="00450AAF" w:rsidRDefault="003E581E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344C0A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25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81E" w:rsidRDefault="003E581E">
      <w:pPr>
        <w:spacing w:after="0" w:line="240" w:lineRule="auto"/>
      </w:pPr>
      <w:r>
        <w:separator/>
      </w:r>
    </w:p>
  </w:footnote>
  <w:footnote w:type="continuationSeparator" w:id="0">
    <w:p w:rsidR="003E581E" w:rsidRDefault="003E58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4F3E"/>
    <w:multiLevelType w:val="multilevel"/>
    <w:tmpl w:val="99D2B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673563"/>
    <w:multiLevelType w:val="multilevel"/>
    <w:tmpl w:val="8FA8B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E112B"/>
    <w:multiLevelType w:val="hybridMultilevel"/>
    <w:tmpl w:val="7C2077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DBE519D"/>
    <w:multiLevelType w:val="hybridMultilevel"/>
    <w:tmpl w:val="6D2EDD2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E686F9D"/>
    <w:multiLevelType w:val="multilevel"/>
    <w:tmpl w:val="50240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6F52A3"/>
    <w:multiLevelType w:val="hybridMultilevel"/>
    <w:tmpl w:val="DC7CF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B318A"/>
    <w:multiLevelType w:val="hybridMultilevel"/>
    <w:tmpl w:val="78409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717EB9"/>
    <w:multiLevelType w:val="multilevel"/>
    <w:tmpl w:val="8F0AE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C05408"/>
    <w:multiLevelType w:val="multilevel"/>
    <w:tmpl w:val="19EA8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4759C5"/>
    <w:multiLevelType w:val="hybridMultilevel"/>
    <w:tmpl w:val="4A08A236"/>
    <w:lvl w:ilvl="0" w:tplc="35D4551A">
      <w:numFmt w:val="bullet"/>
      <w:lvlText w:val="-"/>
      <w:lvlJc w:val="left"/>
      <w:pPr>
        <w:ind w:left="795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1ABF4AEF"/>
    <w:multiLevelType w:val="hybridMultilevel"/>
    <w:tmpl w:val="2FDA4F22"/>
    <w:lvl w:ilvl="0" w:tplc="D0AA8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B960946"/>
    <w:multiLevelType w:val="multilevel"/>
    <w:tmpl w:val="DDE08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EA789F"/>
    <w:multiLevelType w:val="hybridMultilevel"/>
    <w:tmpl w:val="592A3786"/>
    <w:lvl w:ilvl="0" w:tplc="D0AA8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22B72E6"/>
    <w:multiLevelType w:val="multilevel"/>
    <w:tmpl w:val="6CCE8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834B1C"/>
    <w:multiLevelType w:val="hybridMultilevel"/>
    <w:tmpl w:val="6AF6E69C"/>
    <w:lvl w:ilvl="0" w:tplc="877ADB5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37448D"/>
    <w:multiLevelType w:val="multilevel"/>
    <w:tmpl w:val="1C08E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D52782"/>
    <w:multiLevelType w:val="multilevel"/>
    <w:tmpl w:val="AB46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34603F"/>
    <w:multiLevelType w:val="multilevel"/>
    <w:tmpl w:val="4D0EA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C5577E"/>
    <w:multiLevelType w:val="multilevel"/>
    <w:tmpl w:val="A7306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0511C52"/>
    <w:multiLevelType w:val="multilevel"/>
    <w:tmpl w:val="50E03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350927"/>
    <w:multiLevelType w:val="hybridMultilevel"/>
    <w:tmpl w:val="40F09002"/>
    <w:lvl w:ilvl="0" w:tplc="1AC42CF6">
      <w:numFmt w:val="bullet"/>
      <w:lvlText w:val="-"/>
      <w:lvlJc w:val="left"/>
      <w:pPr>
        <w:ind w:left="436" w:hanging="360"/>
      </w:pPr>
      <w:rPr>
        <w:rFonts w:ascii="GHEA Grapalat" w:eastAsia="Calibri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2">
    <w:nsid w:val="4A747B6B"/>
    <w:multiLevelType w:val="hybridMultilevel"/>
    <w:tmpl w:val="221E3CDC"/>
    <w:lvl w:ilvl="0" w:tplc="EE7EDE64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7E3AAB"/>
    <w:multiLevelType w:val="hybridMultilevel"/>
    <w:tmpl w:val="D6A89C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8C3706D"/>
    <w:multiLevelType w:val="hybridMultilevel"/>
    <w:tmpl w:val="B64E47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AF60EE"/>
    <w:multiLevelType w:val="hybridMultilevel"/>
    <w:tmpl w:val="C9CE79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8677ED7"/>
    <w:multiLevelType w:val="multilevel"/>
    <w:tmpl w:val="AEBE5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F9F6413"/>
    <w:multiLevelType w:val="hybridMultilevel"/>
    <w:tmpl w:val="CEBCB18A"/>
    <w:lvl w:ilvl="0" w:tplc="605E6ED2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71A34C97"/>
    <w:multiLevelType w:val="hybridMultilevel"/>
    <w:tmpl w:val="3184FD8E"/>
    <w:lvl w:ilvl="0" w:tplc="77AEE04A">
      <w:numFmt w:val="bullet"/>
      <w:lvlText w:val="-"/>
      <w:lvlJc w:val="left"/>
      <w:pPr>
        <w:ind w:left="1440" w:hanging="360"/>
      </w:pPr>
      <w:rPr>
        <w:rFonts w:ascii="GHEA Grapalat" w:eastAsiaTheme="minorHAnsi" w:hAnsi="GHEA Grapala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3F26814"/>
    <w:multiLevelType w:val="hybridMultilevel"/>
    <w:tmpl w:val="11509CEE"/>
    <w:lvl w:ilvl="0" w:tplc="042B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0">
    <w:nsid w:val="760E3DBC"/>
    <w:multiLevelType w:val="hybridMultilevel"/>
    <w:tmpl w:val="6D783398"/>
    <w:lvl w:ilvl="0" w:tplc="6AC0CE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5E4E06"/>
    <w:multiLevelType w:val="multilevel"/>
    <w:tmpl w:val="247A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9237BBD"/>
    <w:multiLevelType w:val="multilevel"/>
    <w:tmpl w:val="B24C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7B190B"/>
    <w:multiLevelType w:val="multilevel"/>
    <w:tmpl w:val="F20A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E5C55F9"/>
    <w:multiLevelType w:val="multilevel"/>
    <w:tmpl w:val="D7D23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4"/>
  </w:num>
  <w:num w:numId="3">
    <w:abstractNumId w:val="12"/>
  </w:num>
  <w:num w:numId="4">
    <w:abstractNumId w:val="10"/>
  </w:num>
  <w:num w:numId="5">
    <w:abstractNumId w:val="22"/>
  </w:num>
  <w:num w:numId="6">
    <w:abstractNumId w:val="29"/>
  </w:num>
  <w:num w:numId="7">
    <w:abstractNumId w:val="21"/>
  </w:num>
  <w:num w:numId="8">
    <w:abstractNumId w:val="27"/>
  </w:num>
  <w:num w:numId="9">
    <w:abstractNumId w:val="14"/>
  </w:num>
  <w:num w:numId="10">
    <w:abstractNumId w:val="28"/>
  </w:num>
  <w:num w:numId="11">
    <w:abstractNumId w:val="30"/>
  </w:num>
  <w:num w:numId="12">
    <w:abstractNumId w:val="2"/>
  </w:num>
  <w:num w:numId="13">
    <w:abstractNumId w:val="25"/>
  </w:num>
  <w:num w:numId="14">
    <w:abstractNumId w:val="3"/>
  </w:num>
  <w:num w:numId="15">
    <w:abstractNumId w:val="11"/>
  </w:num>
  <w:num w:numId="16">
    <w:abstractNumId w:val="0"/>
  </w:num>
  <w:num w:numId="17">
    <w:abstractNumId w:val="19"/>
  </w:num>
  <w:num w:numId="18">
    <w:abstractNumId w:val="17"/>
  </w:num>
  <w:num w:numId="19">
    <w:abstractNumId w:val="34"/>
  </w:num>
  <w:num w:numId="20">
    <w:abstractNumId w:val="7"/>
  </w:num>
  <w:num w:numId="21">
    <w:abstractNumId w:val="23"/>
  </w:num>
  <w:num w:numId="22">
    <w:abstractNumId w:val="18"/>
  </w:num>
  <w:num w:numId="23">
    <w:abstractNumId w:val="16"/>
  </w:num>
  <w:num w:numId="24">
    <w:abstractNumId w:val="33"/>
  </w:num>
  <w:num w:numId="25">
    <w:abstractNumId w:val="26"/>
  </w:num>
  <w:num w:numId="26">
    <w:abstractNumId w:val="32"/>
  </w:num>
  <w:num w:numId="27">
    <w:abstractNumId w:val="8"/>
  </w:num>
  <w:num w:numId="28">
    <w:abstractNumId w:val="4"/>
  </w:num>
  <w:num w:numId="29">
    <w:abstractNumId w:val="6"/>
  </w:num>
  <w:num w:numId="30">
    <w:abstractNumId w:val="5"/>
  </w:num>
  <w:num w:numId="31">
    <w:abstractNumId w:val="9"/>
  </w:num>
  <w:num w:numId="32">
    <w:abstractNumId w:val="31"/>
  </w:num>
  <w:num w:numId="33">
    <w:abstractNumId w:val="13"/>
  </w:num>
  <w:num w:numId="34">
    <w:abstractNumId w:val="1"/>
  </w:num>
  <w:num w:numId="35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AAF"/>
    <w:rsid w:val="00344C0A"/>
    <w:rsid w:val="003E581E"/>
    <w:rsid w:val="0045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index heading" w:uiPriority="0"/>
    <w:lsdException w:name="caption" w:locked="1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Normal (Web)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locked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locked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locked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locked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locked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locked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locked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locked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Times Armenian" w:eastAsia="Times New Roman" w:hAnsi="Times Armenian"/>
      <w:i/>
      <w:lang w:val="nl-NL" w:eastAsia="x-none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pPr>
      <w:spacing w:after="0" w:line="240" w:lineRule="auto"/>
      <w:ind w:firstLine="72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Pr>
      <w:rFonts w:ascii="Times Armenian" w:eastAsia="Times New Roman" w:hAnsi="Times Armenian"/>
      <w:sz w:val="24"/>
      <w:szCs w:val="24"/>
    </w:rPr>
  </w:style>
  <w:style w:type="paragraph" w:styleId="BodyText">
    <w:name w:val="Body Text"/>
    <w:basedOn w:val="Normal"/>
    <w:link w:val="BodyTextChar"/>
    <w:pPr>
      <w:spacing w:after="0" w:line="240" w:lineRule="auto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Pr>
      <w:rFonts w:ascii="Times Armenian" w:eastAsia="Times New Roman" w:hAnsi="Times Armenian"/>
      <w:sz w:val="24"/>
      <w:szCs w:val="24"/>
    </w:rPr>
  </w:style>
  <w:style w:type="paragraph" w:styleId="BodyText2">
    <w:name w:val="Body Text 2"/>
    <w:basedOn w:val="Normal"/>
    <w:link w:val="BodyText2Char"/>
    <w:pPr>
      <w:spacing w:after="0" w:line="240" w:lineRule="auto"/>
      <w:jc w:val="center"/>
    </w:pPr>
    <w:rPr>
      <w:rFonts w:ascii="Times Armenian" w:eastAsia="Times New Roman" w:hAnsi="Times Armenian"/>
      <w:b/>
      <w:bCs/>
      <w:i/>
      <w:i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Pr>
      <w:rFonts w:ascii="Times Armenian" w:eastAsia="Times New Roman" w:hAnsi="Times Armenian"/>
      <w:b/>
      <w:bCs/>
      <w:i/>
      <w:i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,Знак Знак"/>
    <w:basedOn w:val="Normal"/>
    <w:link w:val="NormalWebChar"/>
    <w:uiPriority w:val="99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,Знак Знак Char"/>
    <w:link w:val="NormalWeb"/>
    <w:uiPriority w:val="99"/>
    <w:locked/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customStyle="1" w:styleId="font5">
    <w:name w:val="font5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b/>
      <w:bCs/>
      <w:color w:val="000000"/>
    </w:rPr>
  </w:style>
  <w:style w:type="paragraph" w:customStyle="1" w:styleId="xl65">
    <w:name w:val="xl65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sz w:val="24"/>
      <w:szCs w:val="24"/>
    </w:rPr>
  </w:style>
  <w:style w:type="paragraph" w:customStyle="1" w:styleId="xl66">
    <w:name w:val="xl66"/>
    <w:basedOn w:val="Normal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4"/>
      <w:szCs w:val="2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3">
    <w:name w:val="xl73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color w:val="000000"/>
      <w:sz w:val="18"/>
      <w:szCs w:val="18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/>
      <w:b/>
      <w:bCs/>
      <w:sz w:val="24"/>
      <w:szCs w:val="24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6">
    <w:name w:val="xl76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7">
    <w:name w:val="xl77"/>
    <w:basedOn w:val="Normal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18"/>
      <w:szCs w:val="18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79">
    <w:name w:val="xl79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0">
    <w:name w:val="xl8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1">
    <w:name w:val="xl81"/>
    <w:basedOn w:val="Normal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82">
    <w:name w:val="xl82"/>
    <w:basedOn w:val="Normal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83">
    <w:name w:val="xl83"/>
    <w:basedOn w:val="Normal"/>
    <w:pP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</w:rPr>
  </w:style>
  <w:style w:type="character" w:customStyle="1" w:styleId="apple-converted-space">
    <w:name w:val="apple-converted-space"/>
    <w:basedOn w:val="DefaultParagraphFont"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Pr>
      <w:sz w:val="22"/>
      <w:szCs w:val="22"/>
    </w:rPr>
  </w:style>
  <w:style w:type="paragraph" w:customStyle="1" w:styleId="norm">
    <w:name w:val="norm"/>
    <w:basedOn w:val="Normal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/>
    </w:rPr>
  </w:style>
  <w:style w:type="paragraph" w:customStyle="1" w:styleId="Char">
    <w:name w:val="Char"/>
    <w:basedOn w:val="Normal"/>
    <w:semiHidden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uiPriority w:val="10"/>
    <w:qFormat/>
    <w:locked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semiHidden/>
    <w:pPr>
      <w:spacing w:after="0" w:line="240" w:lineRule="auto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Armenian" w:eastAsia="Times New Roman" w:hAnsi="Times Armenian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normChar">
    <w:name w:val="norm Char"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locked/>
    <w:rPr>
      <w:b/>
      <w:bCs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CharChar22">
    <w:name w:val="Char Char2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Pr>
      <w:rFonts w:ascii="Times Armenian" w:hAnsi="Times Armenian"/>
      <w:b/>
      <w:lang w:val="hy-AM"/>
    </w:rPr>
  </w:style>
  <w:style w:type="character" w:customStyle="1" w:styleId="CharChar15">
    <w:name w:val="Char Char15"/>
    <w:rPr>
      <w:rFonts w:ascii="Times Armenian" w:hAnsi="Times Armenian"/>
      <w:i/>
      <w:lang w:val="nl-NL"/>
    </w:rPr>
  </w:style>
  <w:style w:type="character" w:customStyle="1" w:styleId="CharChar13">
    <w:name w:val="Char Char13"/>
    <w:rPr>
      <w:rFonts w:ascii="Arial Armenian" w:hAnsi="Arial Armenian"/>
      <w:lang w:val="en-US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Armenian" w:eastAsia="Times New Rom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semiHidden/>
    <w:rPr>
      <w:vertAlign w:val="superscript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Times New Roman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Pr>
      <w:rFonts w:ascii="Times Armenian" w:eastAsia="Times New Roman" w:hAnsi="Times Armenian"/>
      <w:sz w:val="24"/>
      <w:lang w:eastAsia="ru-RU"/>
    </w:rPr>
  </w:style>
  <w:style w:type="table" w:styleId="TableGrid">
    <w:name w:val="Table Grid"/>
    <w:basedOn w:val="TableNormal"/>
    <w:uiPriority w:val="39"/>
    <w:locked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Normal"/>
    <w:pPr>
      <w:spacing w:after="0" w:line="240" w:lineRule="auto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pPr>
      <w:spacing w:after="0" w:line="240" w:lineRule="auto"/>
      <w:ind w:left="720"/>
    </w:pPr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CharChar25">
    <w:name w:val="Char Char2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Index11">
    <w:name w:val="Index 11"/>
    <w:basedOn w:val="Normal"/>
    <w:pPr>
      <w:suppressAutoHyphens/>
      <w:spacing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Emphasis">
    <w:name w:val="Emphasis"/>
    <w:uiPriority w:val="20"/>
    <w:qFormat/>
    <w:locked/>
    <w:rPr>
      <w:i/>
      <w:iCs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chtex">
    <w:name w:val="mechtex"/>
    <w:basedOn w:val="Normal"/>
    <w:link w:val="mechtexChar"/>
    <w:pPr>
      <w:spacing w:after="0" w:line="240" w:lineRule="auto"/>
      <w:jc w:val="center"/>
    </w:pPr>
    <w:rPr>
      <w:rFonts w:ascii="Arial Armenian" w:eastAsia="Times New Roman" w:hAnsi="Arial Armenian"/>
      <w:szCs w:val="20"/>
      <w:lang w:eastAsia="ru-RU"/>
    </w:rPr>
  </w:style>
  <w:style w:type="character" w:customStyle="1" w:styleId="mechtexChar">
    <w:name w:val="mechtex Char"/>
    <w:basedOn w:val="DefaultParagraphFont"/>
    <w:link w:val="mechtex"/>
    <w:locked/>
    <w:rPr>
      <w:rFonts w:ascii="Arial Armenian" w:eastAsia="Times New Roman" w:hAnsi="Arial Armenian"/>
      <w:sz w:val="22"/>
      <w:lang w:eastAsia="ru-RU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table" w:customStyle="1" w:styleId="PlainTable41">
    <w:name w:val="Plain Table 41"/>
    <w:basedOn w:val="TableNormal"/>
    <w:uiPriority w:val="4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TableNormal"/>
    <w:uiPriority w:val="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locked/>
    <w:pPr>
      <w:numPr>
        <w:ilvl w:val="1"/>
      </w:numPr>
      <w:spacing w:after="160"/>
      <w:contextualSpacing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 w:eastAsia="ru-RU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contextualSpacing/>
      <w:jc w:val="center"/>
    </w:pPr>
    <w:rPr>
      <w:rFonts w:ascii="Sylfaen" w:eastAsia="Times New Roman" w:hAnsi="Sylfaen"/>
      <w:i/>
      <w:iCs/>
      <w:color w:val="404040" w:themeColor="text1" w:themeTint="BF"/>
      <w:szCs w:val="24"/>
      <w:lang w:val="ru-RU" w:eastAsia="ru-RU"/>
    </w:rPr>
  </w:style>
  <w:style w:type="character" w:customStyle="1" w:styleId="QuoteChar">
    <w:name w:val="Quote Char"/>
    <w:basedOn w:val="DefaultParagraphFont"/>
    <w:link w:val="Quote"/>
    <w:uiPriority w:val="29"/>
    <w:rPr>
      <w:rFonts w:ascii="Sylfaen" w:eastAsia="Times New Roman" w:hAnsi="Sylfaen"/>
      <w:i/>
      <w:iCs/>
      <w:color w:val="404040" w:themeColor="text1" w:themeTint="BF"/>
      <w:sz w:val="22"/>
      <w:szCs w:val="24"/>
      <w:lang w:val="ru-RU" w:eastAsia="ru-RU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contextualSpacing/>
      <w:jc w:val="center"/>
    </w:pPr>
    <w:rPr>
      <w:rFonts w:ascii="Sylfaen" w:eastAsia="Times New Roman" w:hAnsi="Sylfaen"/>
      <w:i/>
      <w:iCs/>
      <w:color w:val="365F91" w:themeColor="accent1" w:themeShade="BF"/>
      <w:szCs w:val="24"/>
      <w:lang w:val="ru-RU" w:eastAsia="ru-RU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Sylfaen" w:eastAsia="Times New Roman" w:hAnsi="Sylfaen"/>
      <w:i/>
      <w:iCs/>
      <w:color w:val="365F91" w:themeColor="accent1" w:themeShade="BF"/>
      <w:sz w:val="22"/>
      <w:szCs w:val="24"/>
      <w:lang w:val="ru-RU" w:eastAsia="ru-RU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customStyle="1" w:styleId="msonormal0">
    <w:name w:val="msonormal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4">
    <w:name w:val="xl84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1">
    <w:name w:val="xl9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2">
    <w:name w:val="xl92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3">
    <w:name w:val="xl93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94">
    <w:name w:val="xl94"/>
    <w:basedOn w:val="Normal"/>
    <w:pPr>
      <w:pBdr>
        <w:left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6">
    <w:name w:val="xl9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97">
    <w:name w:val="xl97"/>
    <w:basedOn w:val="Normal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8">
    <w:name w:val="xl98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99">
    <w:name w:val="xl99"/>
    <w:basedOn w:val="Normal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0">
    <w:name w:val="xl10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1">
    <w:name w:val="xl10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02">
    <w:name w:val="xl102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3">
    <w:name w:val="xl103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04">
    <w:name w:val="xl104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5">
    <w:name w:val="xl10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6">
    <w:name w:val="xl106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7">
    <w:name w:val="xl10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8">
    <w:name w:val="xl10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09">
    <w:name w:val="xl10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0">
    <w:name w:val="xl11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1">
    <w:name w:val="xl11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2">
    <w:name w:val="xl11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113">
    <w:name w:val="xl11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114">
    <w:name w:val="xl11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15">
    <w:name w:val="xl11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16">
    <w:name w:val="xl11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18">
    <w:name w:val="xl118"/>
    <w:basedOn w:val="Normal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19">
    <w:name w:val="xl119"/>
    <w:basedOn w:val="Normal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0">
    <w:name w:val="xl12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FFFF"/>
      <w:sz w:val="18"/>
      <w:szCs w:val="18"/>
    </w:rPr>
  </w:style>
  <w:style w:type="paragraph" w:customStyle="1" w:styleId="xl121">
    <w:name w:val="xl121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2">
    <w:name w:val="xl1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3">
    <w:name w:val="xl12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24">
    <w:name w:val="xl12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5">
    <w:name w:val="xl12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6">
    <w:name w:val="xl126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7">
    <w:name w:val="xl127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8">
    <w:name w:val="xl1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9">
    <w:name w:val="xl1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0">
    <w:name w:val="xl13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1">
    <w:name w:val="xl13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2">
    <w:name w:val="xl132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3">
    <w:name w:val="xl13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4">
    <w:name w:val="xl134"/>
    <w:basedOn w:val="Normal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5">
    <w:name w:val="xl13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6">
    <w:name w:val="xl13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563C1"/>
      <w:sz w:val="24"/>
      <w:szCs w:val="24"/>
      <w:u w:val="single"/>
    </w:rPr>
  </w:style>
  <w:style w:type="paragraph" w:customStyle="1" w:styleId="xl137">
    <w:name w:val="xl137"/>
    <w:basedOn w:val="Normal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8">
    <w:name w:val="xl1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9">
    <w:name w:val="xl139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0">
    <w:name w:val="xl140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1">
    <w:name w:val="xl14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3">
    <w:name w:val="xl143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44">
    <w:name w:val="xl144"/>
    <w:basedOn w:val="Normal"/>
    <w:pPr>
      <w:pBdr>
        <w:top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45">
    <w:name w:val="xl145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pdq2pgselectionanchorcontainer">
    <w:name w:val="pdq2pg_selectionanchorcontainer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index heading" w:uiPriority="0"/>
    <w:lsdException w:name="caption" w:locked="1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Normal (Web)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locked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locked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locked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locked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locked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locked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locked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locked/>
    <w:pPr>
      <w:keepNext/>
      <w:spacing w:after="0" w:line="240" w:lineRule="auto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Times Armenian" w:eastAsia="Times New Roman" w:hAnsi="Times Armenian"/>
      <w:i/>
      <w:lang w:val="nl-NL" w:eastAsia="x-none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pPr>
      <w:spacing w:after="0" w:line="240" w:lineRule="auto"/>
      <w:ind w:firstLine="72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Pr>
      <w:rFonts w:ascii="Times Armenian" w:eastAsia="Times New Roman" w:hAnsi="Times Armenian"/>
      <w:sz w:val="24"/>
      <w:szCs w:val="24"/>
    </w:rPr>
  </w:style>
  <w:style w:type="paragraph" w:styleId="BodyText">
    <w:name w:val="Body Text"/>
    <w:basedOn w:val="Normal"/>
    <w:link w:val="BodyTextChar"/>
    <w:pPr>
      <w:spacing w:after="0" w:line="240" w:lineRule="auto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Pr>
      <w:rFonts w:ascii="Times Armenian" w:eastAsia="Times New Roman" w:hAnsi="Times Armenian"/>
      <w:sz w:val="24"/>
      <w:szCs w:val="24"/>
    </w:rPr>
  </w:style>
  <w:style w:type="paragraph" w:styleId="BodyText2">
    <w:name w:val="Body Text 2"/>
    <w:basedOn w:val="Normal"/>
    <w:link w:val="BodyText2Char"/>
    <w:pPr>
      <w:spacing w:after="0" w:line="240" w:lineRule="auto"/>
      <w:jc w:val="center"/>
    </w:pPr>
    <w:rPr>
      <w:rFonts w:ascii="Times Armenian" w:eastAsia="Times New Roman" w:hAnsi="Times Armenian"/>
      <w:b/>
      <w:bCs/>
      <w:i/>
      <w:i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Pr>
      <w:rFonts w:ascii="Times Armenian" w:eastAsia="Times New Roman" w:hAnsi="Times Armenian"/>
      <w:b/>
      <w:bCs/>
      <w:i/>
      <w:i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Pr>
      <w:sz w:val="16"/>
      <w:szCs w:val="16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,Знак Знак"/>
    <w:basedOn w:val="Normal"/>
    <w:link w:val="NormalWebChar"/>
    <w:uiPriority w:val="99"/>
    <w:qFormat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,Знак Знак Char"/>
    <w:link w:val="NormalWeb"/>
    <w:uiPriority w:val="99"/>
    <w:locked/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customStyle="1" w:styleId="font5">
    <w:name w:val="font5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b/>
      <w:bCs/>
      <w:color w:val="000000"/>
    </w:rPr>
  </w:style>
  <w:style w:type="paragraph" w:customStyle="1" w:styleId="xl65">
    <w:name w:val="xl65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sz w:val="24"/>
      <w:szCs w:val="24"/>
    </w:rPr>
  </w:style>
  <w:style w:type="paragraph" w:customStyle="1" w:styleId="xl66">
    <w:name w:val="xl66"/>
    <w:basedOn w:val="Normal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b/>
      <w:bCs/>
      <w:sz w:val="20"/>
      <w:szCs w:val="20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4"/>
      <w:szCs w:val="2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2">
    <w:name w:val="xl7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73">
    <w:name w:val="xl73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color w:val="000000"/>
      <w:sz w:val="18"/>
      <w:szCs w:val="18"/>
    </w:rPr>
  </w:style>
  <w:style w:type="paragraph" w:customStyle="1" w:styleId="xl74">
    <w:name w:val="xl7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/>
      <w:b/>
      <w:bCs/>
      <w:sz w:val="24"/>
      <w:szCs w:val="24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6">
    <w:name w:val="xl76"/>
    <w:basedOn w:val="Normal"/>
    <w:pPr>
      <w:spacing w:before="100" w:beforeAutospacing="1" w:after="100" w:afterAutospacing="1" w:line="240" w:lineRule="auto"/>
    </w:pPr>
    <w:rPr>
      <w:rFonts w:ascii="GHEA Grapalat" w:eastAsia="Times New Roman" w:hAnsi="GHEA Grapalat"/>
      <w:b/>
      <w:bCs/>
      <w:sz w:val="28"/>
      <w:szCs w:val="28"/>
    </w:rPr>
  </w:style>
  <w:style w:type="paragraph" w:customStyle="1" w:styleId="xl77">
    <w:name w:val="xl77"/>
    <w:basedOn w:val="Normal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18"/>
      <w:szCs w:val="18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79">
    <w:name w:val="xl79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0">
    <w:name w:val="xl8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/>
      <w:b/>
      <w:bCs/>
      <w:color w:val="000000"/>
      <w:sz w:val="20"/>
      <w:szCs w:val="20"/>
    </w:rPr>
  </w:style>
  <w:style w:type="paragraph" w:customStyle="1" w:styleId="xl81">
    <w:name w:val="xl81"/>
    <w:basedOn w:val="Normal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4"/>
      <w:szCs w:val="24"/>
    </w:rPr>
  </w:style>
  <w:style w:type="paragraph" w:customStyle="1" w:styleId="xl82">
    <w:name w:val="xl82"/>
    <w:basedOn w:val="Normal"/>
    <w:pPr>
      <w:spacing w:before="100" w:beforeAutospacing="1" w:after="100" w:afterAutospacing="1" w:line="240" w:lineRule="auto"/>
      <w:jc w:val="center"/>
    </w:pPr>
    <w:rPr>
      <w:rFonts w:ascii="GHEA Grapalat" w:eastAsia="Times New Roman" w:hAnsi="GHEA Grapalat"/>
      <w:sz w:val="20"/>
      <w:szCs w:val="20"/>
    </w:rPr>
  </w:style>
  <w:style w:type="paragraph" w:customStyle="1" w:styleId="xl83">
    <w:name w:val="xl83"/>
    <w:basedOn w:val="Normal"/>
    <w:pP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</w:rPr>
  </w:style>
  <w:style w:type="character" w:customStyle="1" w:styleId="apple-converted-space">
    <w:name w:val="apple-converted-space"/>
    <w:basedOn w:val="DefaultParagraphFont"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Pr>
      <w:sz w:val="22"/>
      <w:szCs w:val="22"/>
    </w:rPr>
  </w:style>
  <w:style w:type="paragraph" w:customStyle="1" w:styleId="norm">
    <w:name w:val="norm"/>
    <w:basedOn w:val="Normal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/>
    </w:rPr>
  </w:style>
  <w:style w:type="paragraph" w:customStyle="1" w:styleId="Char">
    <w:name w:val="Char"/>
    <w:basedOn w:val="Normal"/>
    <w:semiHidden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semiHidden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uiPriority w:val="10"/>
    <w:qFormat/>
    <w:locked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semiHidden/>
    <w:pPr>
      <w:spacing w:after="0" w:line="240" w:lineRule="auto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Armenian" w:eastAsia="Times New Roman" w:hAnsi="Times Armenian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normChar">
    <w:name w:val="norm Char"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locked/>
    <w:rPr>
      <w:b/>
      <w:bCs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CharChar22">
    <w:name w:val="Char Char2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Pr>
      <w:rFonts w:ascii="Times Armenian" w:hAnsi="Times Armenian"/>
      <w:b/>
      <w:lang w:val="hy-AM"/>
    </w:rPr>
  </w:style>
  <w:style w:type="character" w:customStyle="1" w:styleId="CharChar15">
    <w:name w:val="Char Char15"/>
    <w:rPr>
      <w:rFonts w:ascii="Times Armenian" w:hAnsi="Times Armenian"/>
      <w:i/>
      <w:lang w:val="nl-NL"/>
    </w:rPr>
  </w:style>
  <w:style w:type="character" w:customStyle="1" w:styleId="CharChar13">
    <w:name w:val="Char Char13"/>
    <w:rPr>
      <w:rFonts w:ascii="Arial Armenian" w:hAnsi="Arial Armenian"/>
      <w:lang w:val="en-US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Armenian" w:eastAsia="Times New Rom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semiHidden/>
    <w:rPr>
      <w:vertAlign w:val="superscript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Times New Roman" w:hAnsi="Tahoma" w:cs="Tahoma"/>
      <w:shd w:val="clear" w:color="auto" w:fill="000080"/>
      <w:lang w:eastAsia="ru-RU"/>
    </w:rPr>
  </w:style>
  <w:style w:type="paragraph" w:styleId="Revision">
    <w:name w:val="Revision"/>
    <w:hidden/>
    <w:semiHidden/>
    <w:rPr>
      <w:rFonts w:ascii="Times Armenian" w:eastAsia="Times New Roman" w:hAnsi="Times Armenian"/>
      <w:sz w:val="24"/>
      <w:lang w:eastAsia="ru-RU"/>
    </w:rPr>
  </w:style>
  <w:style w:type="table" w:styleId="TableGrid">
    <w:name w:val="Table Grid"/>
    <w:basedOn w:val="TableNormal"/>
    <w:uiPriority w:val="39"/>
    <w:locked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Normal"/>
    <w:pPr>
      <w:spacing w:after="0" w:line="240" w:lineRule="auto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pPr>
      <w:spacing w:after="0" w:line="240" w:lineRule="auto"/>
      <w:ind w:left="720"/>
    </w:pPr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CharChar25">
    <w:name w:val="Char Char2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Index11">
    <w:name w:val="Index 11"/>
    <w:basedOn w:val="Normal"/>
    <w:pPr>
      <w:suppressAutoHyphens/>
      <w:spacing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Emphasis">
    <w:name w:val="Emphasis"/>
    <w:uiPriority w:val="20"/>
    <w:qFormat/>
    <w:locked/>
    <w:rPr>
      <w:i/>
      <w:iCs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chtex">
    <w:name w:val="mechtex"/>
    <w:basedOn w:val="Normal"/>
    <w:link w:val="mechtexChar"/>
    <w:pPr>
      <w:spacing w:after="0" w:line="240" w:lineRule="auto"/>
      <w:jc w:val="center"/>
    </w:pPr>
    <w:rPr>
      <w:rFonts w:ascii="Arial Armenian" w:eastAsia="Times New Roman" w:hAnsi="Arial Armenian"/>
      <w:szCs w:val="20"/>
      <w:lang w:eastAsia="ru-RU"/>
    </w:rPr>
  </w:style>
  <w:style w:type="character" w:customStyle="1" w:styleId="mechtexChar">
    <w:name w:val="mechtex Char"/>
    <w:basedOn w:val="DefaultParagraphFont"/>
    <w:link w:val="mechtex"/>
    <w:locked/>
    <w:rPr>
      <w:rFonts w:ascii="Arial Armenian" w:eastAsia="Times New Roman" w:hAnsi="Arial Armenian"/>
      <w:sz w:val="22"/>
      <w:lang w:eastAsia="ru-RU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table" w:customStyle="1" w:styleId="PlainTable41">
    <w:name w:val="Plain Table 41"/>
    <w:basedOn w:val="TableNormal"/>
    <w:uiPriority w:val="4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TableNormal"/>
    <w:uiPriority w:val="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Subtitle">
    <w:name w:val="Subtitle"/>
    <w:basedOn w:val="Normal"/>
    <w:next w:val="Normal"/>
    <w:link w:val="SubtitleChar"/>
    <w:uiPriority w:val="11"/>
    <w:qFormat/>
    <w:locked/>
    <w:pPr>
      <w:numPr>
        <w:ilvl w:val="1"/>
      </w:numPr>
      <w:spacing w:after="160"/>
      <w:contextualSpacing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 w:eastAsia="ru-RU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contextualSpacing/>
      <w:jc w:val="center"/>
    </w:pPr>
    <w:rPr>
      <w:rFonts w:ascii="Sylfaen" w:eastAsia="Times New Roman" w:hAnsi="Sylfaen"/>
      <w:i/>
      <w:iCs/>
      <w:color w:val="404040" w:themeColor="text1" w:themeTint="BF"/>
      <w:szCs w:val="24"/>
      <w:lang w:val="ru-RU" w:eastAsia="ru-RU"/>
    </w:rPr>
  </w:style>
  <w:style w:type="character" w:customStyle="1" w:styleId="QuoteChar">
    <w:name w:val="Quote Char"/>
    <w:basedOn w:val="DefaultParagraphFont"/>
    <w:link w:val="Quote"/>
    <w:uiPriority w:val="29"/>
    <w:rPr>
      <w:rFonts w:ascii="Sylfaen" w:eastAsia="Times New Roman" w:hAnsi="Sylfaen"/>
      <w:i/>
      <w:iCs/>
      <w:color w:val="404040" w:themeColor="text1" w:themeTint="BF"/>
      <w:sz w:val="22"/>
      <w:szCs w:val="24"/>
      <w:lang w:val="ru-RU" w:eastAsia="ru-RU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contextualSpacing/>
      <w:jc w:val="center"/>
    </w:pPr>
    <w:rPr>
      <w:rFonts w:ascii="Sylfaen" w:eastAsia="Times New Roman" w:hAnsi="Sylfaen"/>
      <w:i/>
      <w:iCs/>
      <w:color w:val="365F91" w:themeColor="accent1" w:themeShade="BF"/>
      <w:szCs w:val="24"/>
      <w:lang w:val="ru-RU" w:eastAsia="ru-RU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Sylfaen" w:eastAsia="Times New Roman" w:hAnsi="Sylfaen"/>
      <w:i/>
      <w:iCs/>
      <w:color w:val="365F91" w:themeColor="accent1" w:themeShade="BF"/>
      <w:sz w:val="22"/>
      <w:szCs w:val="24"/>
      <w:lang w:val="ru-RU" w:eastAsia="ru-RU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customStyle="1" w:styleId="msonormal0">
    <w:name w:val="msonormal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4">
    <w:name w:val="xl84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8">
    <w:name w:val="xl8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89">
    <w:name w:val="xl8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1">
    <w:name w:val="xl9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2">
    <w:name w:val="xl92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3">
    <w:name w:val="xl93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94">
    <w:name w:val="xl94"/>
    <w:basedOn w:val="Normal"/>
    <w:pPr>
      <w:pBdr>
        <w:left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6">
    <w:name w:val="xl9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97">
    <w:name w:val="xl97"/>
    <w:basedOn w:val="Normal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98">
    <w:name w:val="xl98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99">
    <w:name w:val="xl99"/>
    <w:basedOn w:val="Normal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0">
    <w:name w:val="xl10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1">
    <w:name w:val="xl10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02">
    <w:name w:val="xl102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3">
    <w:name w:val="xl103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04">
    <w:name w:val="xl104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5">
    <w:name w:val="xl10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6">
    <w:name w:val="xl106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7">
    <w:name w:val="xl10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08">
    <w:name w:val="xl10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xl109">
    <w:name w:val="xl10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0">
    <w:name w:val="xl11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1">
    <w:name w:val="xl11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112">
    <w:name w:val="xl11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paragraph" w:customStyle="1" w:styleId="xl113">
    <w:name w:val="xl11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</w:rPr>
  </w:style>
  <w:style w:type="paragraph" w:customStyle="1" w:styleId="xl114">
    <w:name w:val="xl11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115">
    <w:name w:val="xl11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16">
    <w:name w:val="xl11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18">
    <w:name w:val="xl118"/>
    <w:basedOn w:val="Normal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19">
    <w:name w:val="xl119"/>
    <w:basedOn w:val="Normal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0">
    <w:name w:val="xl12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FFFF"/>
      <w:sz w:val="18"/>
      <w:szCs w:val="18"/>
    </w:rPr>
  </w:style>
  <w:style w:type="paragraph" w:customStyle="1" w:styleId="xl121">
    <w:name w:val="xl121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2">
    <w:name w:val="xl1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3">
    <w:name w:val="xl12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124">
    <w:name w:val="xl12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5">
    <w:name w:val="xl12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6">
    <w:name w:val="xl126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7">
    <w:name w:val="xl127"/>
    <w:basedOn w:val="Normal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8">
    <w:name w:val="xl1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29">
    <w:name w:val="xl1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0">
    <w:name w:val="xl13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1">
    <w:name w:val="xl13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2">
    <w:name w:val="xl132"/>
    <w:basedOn w:val="Normal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3">
    <w:name w:val="xl133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4">
    <w:name w:val="xl134"/>
    <w:basedOn w:val="Normal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5">
    <w:name w:val="xl13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36">
    <w:name w:val="xl13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563C1"/>
      <w:sz w:val="24"/>
      <w:szCs w:val="24"/>
      <w:u w:val="single"/>
    </w:rPr>
  </w:style>
  <w:style w:type="paragraph" w:customStyle="1" w:styleId="xl137">
    <w:name w:val="xl137"/>
    <w:basedOn w:val="Normal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8">
    <w:name w:val="xl1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39">
    <w:name w:val="xl139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0">
    <w:name w:val="xl140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1">
    <w:name w:val="xl14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8"/>
      <w:szCs w:val="18"/>
    </w:rPr>
  </w:style>
  <w:style w:type="paragraph" w:customStyle="1" w:styleId="xl143">
    <w:name w:val="xl143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44">
    <w:name w:val="xl144"/>
    <w:basedOn w:val="Normal"/>
    <w:pPr>
      <w:pBdr>
        <w:top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145">
    <w:name w:val="xl145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pdq2pgselectionanchorcontainer">
    <w:name w:val="pdq2pg_selectionanchorcontainer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70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8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2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952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201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0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1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70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0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10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6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5D758-DBC5-4239-BC19-06FA81FB4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25</Pages>
  <Words>6432</Words>
  <Characters>36666</Characters>
  <Application>Microsoft Office Word</Application>
  <DocSecurity>0</DocSecurity>
  <Lines>305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43012</CharactersWithSpaces>
  <SharedDoc>false</SharedDoc>
  <HLinks>
    <vt:vector size="18" baseType="variant">
      <vt:variant>
        <vt:i4>131140</vt:i4>
      </vt:variant>
      <vt:variant>
        <vt:i4>6</vt:i4>
      </vt:variant>
      <vt:variant>
        <vt:i4>0</vt:i4>
      </vt:variant>
      <vt:variant>
        <vt:i4>5</vt:i4>
      </vt:variant>
      <vt:variant>
        <vt:lpwstr>http://gnumner.am/am/category/101/1.html</vt:lpwstr>
      </vt:variant>
      <vt:variant>
        <vt:lpwstr/>
      </vt:variant>
      <vt:variant>
        <vt:i4>131140</vt:i4>
      </vt:variant>
      <vt:variant>
        <vt:i4>3</vt:i4>
      </vt:variant>
      <vt:variant>
        <vt:i4>0</vt:i4>
      </vt:variant>
      <vt:variant>
        <vt:i4>5</vt:i4>
      </vt:variant>
      <vt:variant>
        <vt:lpwstr>http://gnumner.am/am/category/101/1.html</vt:lpwstr>
      </vt:variant>
      <vt:variant>
        <vt:lpwstr/>
      </vt:variant>
      <vt:variant>
        <vt:i4>131140</vt:i4>
      </vt:variant>
      <vt:variant>
        <vt:i4>0</vt:i4>
      </vt:variant>
      <vt:variant>
        <vt:i4>0</vt:i4>
      </vt:variant>
      <vt:variant>
        <vt:i4>5</vt:i4>
      </vt:variant>
      <vt:variant>
        <vt:lpwstr>http://gnumner.am/am/category/101/1.html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MLSA</cp:lastModifiedBy>
  <cp:revision>58</cp:revision>
  <cp:lastPrinted>2025-04-21T12:26:00Z</cp:lastPrinted>
  <dcterms:created xsi:type="dcterms:W3CDTF">2026-07-14T08:01:00Z</dcterms:created>
  <dcterms:modified xsi:type="dcterms:W3CDTF">2026-08-12T12:50:00Z</dcterms:modified>
</cp:coreProperties>
</file>